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E1" w:rsidRPr="00346652" w:rsidRDefault="00B03D00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Шилов Дмитрий Александрович</w:t>
      </w:r>
      <w:r w:rsidR="00B95C55" w:rsidRPr="0034665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B95C55" w:rsidRPr="00346652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95C55" w:rsidRPr="00346652">
        <w:rPr>
          <w:rFonts w:ascii="Times New Roman" w:hAnsi="Times New Roman" w:cs="Times New Roman"/>
          <w:sz w:val="26"/>
          <w:szCs w:val="26"/>
        </w:rPr>
        <w:t xml:space="preserve"> отдела контроля на товарных рынках и экономической концентрации.</w:t>
      </w:r>
      <w:r w:rsidR="00B94544" w:rsidRPr="003466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5CE1" w:rsidRPr="00346652" w:rsidRDefault="00B94544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181">
        <w:rPr>
          <w:rFonts w:ascii="Times New Roman" w:hAnsi="Times New Roman" w:cs="Times New Roman"/>
          <w:b/>
          <w:sz w:val="26"/>
          <w:szCs w:val="26"/>
        </w:rPr>
        <w:t xml:space="preserve">Основная функция </w:t>
      </w:r>
      <w:r w:rsidR="00EA2C48">
        <w:rPr>
          <w:rFonts w:ascii="Times New Roman" w:hAnsi="Times New Roman" w:cs="Times New Roman"/>
          <w:b/>
          <w:sz w:val="26"/>
          <w:szCs w:val="26"/>
        </w:rPr>
        <w:t>нашего</w:t>
      </w:r>
      <w:r w:rsidRPr="00CC018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346652">
        <w:rPr>
          <w:rFonts w:ascii="Times New Roman" w:hAnsi="Times New Roman" w:cs="Times New Roman"/>
          <w:sz w:val="26"/>
          <w:szCs w:val="26"/>
        </w:rPr>
        <w:t xml:space="preserve"> – предупреждение и пресечение</w:t>
      </w:r>
      <w:r w:rsidR="00F75D1B">
        <w:rPr>
          <w:rFonts w:ascii="Times New Roman" w:hAnsi="Times New Roman" w:cs="Times New Roman"/>
          <w:sz w:val="26"/>
          <w:szCs w:val="26"/>
        </w:rPr>
        <w:t xml:space="preserve"> монополистической деятельности на товарных и финансовых рынках,</w:t>
      </w:r>
      <w:r w:rsidRPr="00346652">
        <w:rPr>
          <w:rFonts w:ascii="Times New Roman" w:hAnsi="Times New Roman" w:cs="Times New Roman"/>
          <w:sz w:val="26"/>
          <w:szCs w:val="26"/>
        </w:rPr>
        <w:t xml:space="preserve"> то есть предупреждение и пресечение </w:t>
      </w:r>
      <w:r w:rsidRPr="007D5F21">
        <w:rPr>
          <w:rFonts w:ascii="Times New Roman" w:hAnsi="Times New Roman" w:cs="Times New Roman"/>
          <w:b/>
          <w:sz w:val="26"/>
          <w:szCs w:val="26"/>
        </w:rPr>
        <w:t xml:space="preserve">злоупотребления доминирующим положением, </w:t>
      </w:r>
      <w:r w:rsidRPr="00346652">
        <w:rPr>
          <w:rFonts w:ascii="Times New Roman" w:hAnsi="Times New Roman" w:cs="Times New Roman"/>
          <w:sz w:val="26"/>
          <w:szCs w:val="26"/>
        </w:rPr>
        <w:t xml:space="preserve">а также предупреждение и пресечение </w:t>
      </w:r>
      <w:r w:rsidRPr="007D5F21">
        <w:rPr>
          <w:rFonts w:ascii="Times New Roman" w:hAnsi="Times New Roman" w:cs="Times New Roman"/>
          <w:b/>
          <w:sz w:val="26"/>
          <w:szCs w:val="26"/>
        </w:rPr>
        <w:t>соглашений и согласованных действий</w:t>
      </w:r>
      <w:r w:rsidRPr="003466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6652" w:rsidRPr="00346652" w:rsidRDefault="00B94544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 xml:space="preserve">С целью предупреждения и пресечения монополистической деятельности отдел выдает предупреждения о прекращении действий, которые содержат признаки нарушения антимонопольного законодательства, а также возбуждает и рассматривает </w:t>
      </w:r>
      <w:r w:rsidR="00795CE1" w:rsidRPr="00346652">
        <w:rPr>
          <w:rFonts w:ascii="Times New Roman" w:hAnsi="Times New Roman" w:cs="Times New Roman"/>
          <w:sz w:val="26"/>
          <w:szCs w:val="26"/>
        </w:rPr>
        <w:t>дела в отношении хозяйствующих субъектов, действия которых содержат признаки нарушения антимонопольного законодательства.</w:t>
      </w:r>
      <w:r w:rsidR="00346652" w:rsidRPr="003466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5CE1" w:rsidRPr="00346652" w:rsidRDefault="00346652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>По результатам рассмотрения дела выносится решение и выдается Ответчику (или Ответчикам) обязательные для исполнения предписания.</w:t>
      </w:r>
    </w:p>
    <w:p w:rsidR="007D5F21" w:rsidRDefault="007D5F21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5CE1" w:rsidRPr="00346652" w:rsidRDefault="00795CE1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>Основанием для возбуждения дела о нарушении антимонопольного законодательства является:</w:t>
      </w:r>
    </w:p>
    <w:p w:rsidR="00795CE1" w:rsidRPr="00346652" w:rsidRDefault="00795CE1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 xml:space="preserve">обнаружение </w:t>
      </w:r>
      <w:r w:rsidR="007D5F21">
        <w:rPr>
          <w:rFonts w:ascii="Times New Roman" w:hAnsi="Times New Roman" w:cs="Times New Roman"/>
          <w:sz w:val="26"/>
          <w:szCs w:val="26"/>
        </w:rPr>
        <w:t xml:space="preserve">непосредственно Управлением </w:t>
      </w:r>
      <w:r w:rsidRPr="00346652">
        <w:rPr>
          <w:rFonts w:ascii="Times New Roman" w:hAnsi="Times New Roman" w:cs="Times New Roman"/>
          <w:sz w:val="26"/>
          <w:szCs w:val="26"/>
        </w:rPr>
        <w:t>признаков нарушения антимонопольного законодательства в ходе анализа документов и мат</w:t>
      </w:r>
      <w:r w:rsidR="007D5F21">
        <w:rPr>
          <w:rFonts w:ascii="Times New Roman" w:hAnsi="Times New Roman" w:cs="Times New Roman"/>
          <w:sz w:val="26"/>
          <w:szCs w:val="26"/>
        </w:rPr>
        <w:t>ериалов, имеющихся в Управлении</w:t>
      </w:r>
      <w:r w:rsidR="00EA2C48">
        <w:rPr>
          <w:rFonts w:ascii="Times New Roman" w:hAnsi="Times New Roman" w:cs="Times New Roman"/>
          <w:sz w:val="26"/>
          <w:szCs w:val="26"/>
        </w:rPr>
        <w:t>,</w:t>
      </w:r>
      <w:r w:rsidR="007D5F21">
        <w:rPr>
          <w:rFonts w:ascii="Times New Roman" w:hAnsi="Times New Roman" w:cs="Times New Roman"/>
          <w:sz w:val="26"/>
          <w:szCs w:val="26"/>
        </w:rPr>
        <w:t xml:space="preserve"> или полученных</w:t>
      </w:r>
      <w:r w:rsidRPr="00346652">
        <w:rPr>
          <w:rFonts w:ascii="Times New Roman" w:hAnsi="Times New Roman" w:cs="Times New Roman"/>
          <w:sz w:val="26"/>
          <w:szCs w:val="26"/>
        </w:rPr>
        <w:t xml:space="preserve"> в результате проверки</w:t>
      </w:r>
      <w:r w:rsidR="00EA2C48">
        <w:rPr>
          <w:rFonts w:ascii="Times New Roman" w:hAnsi="Times New Roman" w:cs="Times New Roman"/>
          <w:sz w:val="26"/>
          <w:szCs w:val="26"/>
        </w:rPr>
        <w:t>,</w:t>
      </w:r>
      <w:r w:rsidR="007D5F21">
        <w:rPr>
          <w:rFonts w:ascii="Times New Roman" w:hAnsi="Times New Roman" w:cs="Times New Roman"/>
          <w:sz w:val="26"/>
          <w:szCs w:val="26"/>
        </w:rPr>
        <w:t xml:space="preserve"> </w:t>
      </w:r>
      <w:r w:rsidRPr="00346652">
        <w:rPr>
          <w:rFonts w:ascii="Times New Roman" w:hAnsi="Times New Roman" w:cs="Times New Roman"/>
          <w:sz w:val="26"/>
          <w:szCs w:val="26"/>
        </w:rPr>
        <w:t>или выявленных из сообщений средств массовой информации;</w:t>
      </w:r>
    </w:p>
    <w:p w:rsidR="00795CE1" w:rsidRPr="00346652" w:rsidRDefault="007D5F21" w:rsidP="007D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о</w:t>
      </w:r>
      <w:r w:rsidRPr="00346652">
        <w:rPr>
          <w:rFonts w:ascii="Times New Roman" w:hAnsi="Times New Roman" w:cs="Times New Roman"/>
          <w:sz w:val="26"/>
          <w:szCs w:val="26"/>
        </w:rPr>
        <w:t>снованием для возбуждения дела</w:t>
      </w:r>
      <w:r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="00795CE1" w:rsidRPr="00346652">
        <w:rPr>
          <w:rFonts w:ascii="Times New Roman" w:hAnsi="Times New Roman" w:cs="Times New Roman"/>
          <w:sz w:val="26"/>
          <w:szCs w:val="26"/>
        </w:rPr>
        <w:t>поступ</w:t>
      </w:r>
      <w:r>
        <w:rPr>
          <w:rFonts w:ascii="Times New Roman" w:hAnsi="Times New Roman" w:cs="Times New Roman"/>
          <w:sz w:val="26"/>
          <w:szCs w:val="26"/>
        </w:rPr>
        <w:t xml:space="preserve">ившие в </w:t>
      </w:r>
      <w:r w:rsidR="00D9609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="00795CE1" w:rsidRPr="00346652">
        <w:rPr>
          <w:rFonts w:ascii="Times New Roman" w:hAnsi="Times New Roman" w:cs="Times New Roman"/>
          <w:sz w:val="26"/>
          <w:szCs w:val="26"/>
        </w:rPr>
        <w:t>материал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95CE1" w:rsidRPr="00346652">
        <w:rPr>
          <w:rFonts w:ascii="Times New Roman" w:hAnsi="Times New Roman" w:cs="Times New Roman"/>
          <w:sz w:val="26"/>
          <w:szCs w:val="26"/>
        </w:rPr>
        <w:t>, заявлени</w:t>
      </w:r>
      <w:r>
        <w:rPr>
          <w:rFonts w:ascii="Times New Roman" w:hAnsi="Times New Roman" w:cs="Times New Roman"/>
          <w:sz w:val="26"/>
          <w:szCs w:val="26"/>
        </w:rPr>
        <w:t>я,</w:t>
      </w:r>
      <w:r w:rsidR="00795CE1" w:rsidRPr="00346652">
        <w:rPr>
          <w:rFonts w:ascii="Times New Roman" w:hAnsi="Times New Roman" w:cs="Times New Roman"/>
          <w:sz w:val="26"/>
          <w:szCs w:val="26"/>
        </w:rPr>
        <w:t xml:space="preserve"> жалоб</w:t>
      </w:r>
      <w:r>
        <w:rPr>
          <w:rFonts w:ascii="Times New Roman" w:hAnsi="Times New Roman" w:cs="Times New Roman"/>
          <w:sz w:val="26"/>
          <w:szCs w:val="26"/>
        </w:rPr>
        <w:t>ы госорганов,</w:t>
      </w:r>
      <w:r w:rsidR="00795CE1" w:rsidRPr="00346652">
        <w:rPr>
          <w:rFonts w:ascii="Times New Roman" w:hAnsi="Times New Roman" w:cs="Times New Roman"/>
          <w:sz w:val="26"/>
          <w:szCs w:val="26"/>
        </w:rPr>
        <w:t xml:space="preserve"> юридическ</w:t>
      </w:r>
      <w:r>
        <w:rPr>
          <w:rFonts w:ascii="Times New Roman" w:hAnsi="Times New Roman" w:cs="Times New Roman"/>
          <w:sz w:val="26"/>
          <w:szCs w:val="26"/>
        </w:rPr>
        <w:t xml:space="preserve">их и </w:t>
      </w:r>
      <w:r w:rsidR="00795CE1" w:rsidRPr="00346652">
        <w:rPr>
          <w:rFonts w:ascii="Times New Roman" w:hAnsi="Times New Roman" w:cs="Times New Roman"/>
          <w:sz w:val="26"/>
          <w:szCs w:val="26"/>
        </w:rPr>
        <w:t>физическ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="00795CE1" w:rsidRPr="00346652">
        <w:rPr>
          <w:rFonts w:ascii="Times New Roman" w:hAnsi="Times New Roman" w:cs="Times New Roman"/>
          <w:sz w:val="26"/>
          <w:szCs w:val="26"/>
        </w:rPr>
        <w:t xml:space="preserve"> лиц, указывающих на наличие признаков нарушения антимонопольного законодательства.</w:t>
      </w:r>
    </w:p>
    <w:p w:rsidR="007D5F21" w:rsidRDefault="007D5F21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108B" w:rsidRPr="00346652" w:rsidRDefault="00D96091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3 </w:t>
      </w:r>
      <w:proofErr w:type="gramStart"/>
      <w:r>
        <w:rPr>
          <w:rFonts w:ascii="Times New Roman" w:hAnsi="Times New Roman" w:cs="Times New Roman"/>
          <w:sz w:val="26"/>
          <w:szCs w:val="26"/>
        </w:rPr>
        <w:t>квартале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2099" w:rsidRPr="00346652">
        <w:rPr>
          <w:rFonts w:ascii="Times New Roman" w:hAnsi="Times New Roman" w:cs="Times New Roman"/>
          <w:sz w:val="26"/>
          <w:szCs w:val="26"/>
        </w:rPr>
        <w:t xml:space="preserve">2019 года </w:t>
      </w:r>
      <w:r w:rsidR="00ED1DE9" w:rsidRPr="00346652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0E2099" w:rsidRPr="00346652">
        <w:rPr>
          <w:rFonts w:ascii="Times New Roman" w:hAnsi="Times New Roman" w:cs="Times New Roman"/>
          <w:sz w:val="26"/>
          <w:szCs w:val="26"/>
        </w:rPr>
        <w:t>рассмотрено 1</w:t>
      </w:r>
      <w:r>
        <w:rPr>
          <w:rFonts w:ascii="Times New Roman" w:hAnsi="Times New Roman" w:cs="Times New Roman"/>
          <w:sz w:val="26"/>
          <w:szCs w:val="26"/>
        </w:rPr>
        <w:t>3</w:t>
      </w:r>
      <w:r w:rsidR="00630D3A">
        <w:rPr>
          <w:rFonts w:ascii="Times New Roman" w:hAnsi="Times New Roman" w:cs="Times New Roman"/>
          <w:sz w:val="26"/>
          <w:szCs w:val="26"/>
        </w:rPr>
        <w:t>5</w:t>
      </w:r>
      <w:r w:rsidR="000E2099" w:rsidRPr="00346652">
        <w:rPr>
          <w:rFonts w:ascii="Times New Roman" w:hAnsi="Times New Roman" w:cs="Times New Roman"/>
          <w:sz w:val="26"/>
          <w:szCs w:val="26"/>
        </w:rPr>
        <w:t xml:space="preserve"> заявлений, из них:</w:t>
      </w:r>
    </w:p>
    <w:p w:rsidR="000E2099" w:rsidRPr="00346652" w:rsidRDefault="00501442" w:rsidP="003466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>-</w:t>
      </w:r>
      <w:r w:rsidRPr="00346652">
        <w:rPr>
          <w:rFonts w:ascii="Times New Roman" w:hAnsi="Times New Roman" w:cs="Times New Roman"/>
          <w:sz w:val="26"/>
          <w:szCs w:val="26"/>
        </w:rPr>
        <w:tab/>
        <w:t>о</w:t>
      </w:r>
      <w:r w:rsidR="000E2099" w:rsidRPr="00346652">
        <w:rPr>
          <w:rFonts w:ascii="Times New Roman" w:hAnsi="Times New Roman" w:cs="Times New Roman"/>
          <w:sz w:val="26"/>
          <w:szCs w:val="26"/>
        </w:rPr>
        <w:t xml:space="preserve">тказано в возбуждении дела </w:t>
      </w:r>
      <w:r w:rsidR="00ED1DE9" w:rsidRPr="00346652">
        <w:rPr>
          <w:rFonts w:ascii="Times New Roman" w:hAnsi="Times New Roman" w:cs="Times New Roman"/>
          <w:sz w:val="26"/>
          <w:szCs w:val="26"/>
        </w:rPr>
        <w:t xml:space="preserve">по </w:t>
      </w:r>
      <w:r w:rsidR="00630D3A">
        <w:rPr>
          <w:rFonts w:ascii="Times New Roman" w:hAnsi="Times New Roman" w:cs="Times New Roman"/>
          <w:sz w:val="26"/>
          <w:szCs w:val="26"/>
        </w:rPr>
        <w:t>87</w:t>
      </w:r>
      <w:r w:rsidR="000E2099" w:rsidRPr="00346652">
        <w:rPr>
          <w:rFonts w:ascii="Times New Roman" w:hAnsi="Times New Roman" w:cs="Times New Roman"/>
          <w:sz w:val="26"/>
          <w:szCs w:val="26"/>
        </w:rPr>
        <w:t xml:space="preserve"> заяв</w:t>
      </w:r>
      <w:r w:rsidR="00630D3A">
        <w:rPr>
          <w:rFonts w:ascii="Times New Roman" w:hAnsi="Times New Roman" w:cs="Times New Roman"/>
          <w:sz w:val="26"/>
          <w:szCs w:val="26"/>
        </w:rPr>
        <w:t>лению</w:t>
      </w:r>
      <w:r w:rsidR="00B03D00">
        <w:rPr>
          <w:rFonts w:ascii="Times New Roman" w:hAnsi="Times New Roman" w:cs="Times New Roman"/>
          <w:sz w:val="26"/>
          <w:szCs w:val="26"/>
        </w:rPr>
        <w:t>;</w:t>
      </w:r>
    </w:p>
    <w:p w:rsidR="000E2099" w:rsidRPr="00346652" w:rsidRDefault="00501442" w:rsidP="003466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>-</w:t>
      </w:r>
      <w:r w:rsidRPr="00346652">
        <w:rPr>
          <w:rFonts w:ascii="Times New Roman" w:hAnsi="Times New Roman" w:cs="Times New Roman"/>
          <w:sz w:val="26"/>
          <w:szCs w:val="26"/>
        </w:rPr>
        <w:tab/>
        <w:t>н</w:t>
      </w:r>
      <w:r w:rsidR="000E2099" w:rsidRPr="00346652">
        <w:rPr>
          <w:rFonts w:ascii="Times New Roman" w:hAnsi="Times New Roman" w:cs="Times New Roman"/>
          <w:sz w:val="26"/>
          <w:szCs w:val="26"/>
        </w:rPr>
        <w:t xml:space="preserve">аправлено по подведомственности – </w:t>
      </w:r>
      <w:r w:rsidR="00D96091">
        <w:rPr>
          <w:rFonts w:ascii="Times New Roman" w:hAnsi="Times New Roman" w:cs="Times New Roman"/>
          <w:sz w:val="26"/>
          <w:szCs w:val="26"/>
        </w:rPr>
        <w:t>2</w:t>
      </w:r>
      <w:r w:rsidR="00630D3A">
        <w:rPr>
          <w:rFonts w:ascii="Times New Roman" w:hAnsi="Times New Roman" w:cs="Times New Roman"/>
          <w:sz w:val="26"/>
          <w:szCs w:val="26"/>
        </w:rPr>
        <w:t>5</w:t>
      </w:r>
      <w:r w:rsidR="000E2099" w:rsidRPr="00346652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D96091">
        <w:rPr>
          <w:rFonts w:ascii="Times New Roman" w:hAnsi="Times New Roman" w:cs="Times New Roman"/>
          <w:sz w:val="26"/>
          <w:szCs w:val="26"/>
        </w:rPr>
        <w:t>я</w:t>
      </w:r>
      <w:r w:rsidR="00B03D00">
        <w:rPr>
          <w:rFonts w:ascii="Times New Roman" w:hAnsi="Times New Roman" w:cs="Times New Roman"/>
          <w:sz w:val="26"/>
          <w:szCs w:val="26"/>
        </w:rPr>
        <w:t>;</w:t>
      </w:r>
    </w:p>
    <w:p w:rsidR="000E2099" w:rsidRDefault="00501442" w:rsidP="003466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>-</w:t>
      </w:r>
      <w:r w:rsidRPr="00346652">
        <w:rPr>
          <w:rFonts w:ascii="Times New Roman" w:hAnsi="Times New Roman" w:cs="Times New Roman"/>
          <w:sz w:val="26"/>
          <w:szCs w:val="26"/>
        </w:rPr>
        <w:tab/>
      </w:r>
      <w:r w:rsidR="00630D3A">
        <w:rPr>
          <w:rFonts w:ascii="Times New Roman" w:hAnsi="Times New Roman" w:cs="Times New Roman"/>
          <w:sz w:val="26"/>
          <w:szCs w:val="26"/>
        </w:rPr>
        <w:t xml:space="preserve">14 </w:t>
      </w:r>
      <w:r w:rsidR="00ED1DE9" w:rsidRPr="00346652">
        <w:rPr>
          <w:rFonts w:ascii="Times New Roman" w:hAnsi="Times New Roman" w:cs="Times New Roman"/>
          <w:sz w:val="26"/>
          <w:szCs w:val="26"/>
        </w:rPr>
        <w:t>з</w:t>
      </w:r>
      <w:r w:rsidR="000E2099" w:rsidRPr="00346652">
        <w:rPr>
          <w:rFonts w:ascii="Times New Roman" w:hAnsi="Times New Roman" w:cs="Times New Roman"/>
          <w:sz w:val="26"/>
          <w:szCs w:val="26"/>
        </w:rPr>
        <w:t>аявител</w:t>
      </w:r>
      <w:r w:rsidR="00ED1DE9" w:rsidRPr="00346652">
        <w:rPr>
          <w:rFonts w:ascii="Times New Roman" w:hAnsi="Times New Roman" w:cs="Times New Roman"/>
          <w:sz w:val="26"/>
          <w:szCs w:val="26"/>
        </w:rPr>
        <w:t>ям</w:t>
      </w:r>
      <w:r w:rsidR="000E2099" w:rsidRPr="00346652">
        <w:rPr>
          <w:rFonts w:ascii="Times New Roman" w:hAnsi="Times New Roman" w:cs="Times New Roman"/>
          <w:sz w:val="26"/>
          <w:szCs w:val="26"/>
        </w:rPr>
        <w:t xml:space="preserve"> разъяснены порядок подачи заявления</w:t>
      </w:r>
      <w:r w:rsidR="00B03D00">
        <w:rPr>
          <w:rFonts w:ascii="Times New Roman" w:hAnsi="Times New Roman" w:cs="Times New Roman"/>
          <w:sz w:val="26"/>
          <w:szCs w:val="26"/>
        </w:rPr>
        <w:t>.</w:t>
      </w:r>
    </w:p>
    <w:p w:rsidR="00D96091" w:rsidRPr="00346652" w:rsidRDefault="00D96091" w:rsidP="00D96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F21" w:rsidRDefault="009B0DD2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 xml:space="preserve">Как видно из указанной статистики, </w:t>
      </w:r>
      <w:r w:rsidR="00630D3A">
        <w:rPr>
          <w:rFonts w:ascii="Times New Roman" w:hAnsi="Times New Roman" w:cs="Times New Roman"/>
          <w:sz w:val="26"/>
          <w:szCs w:val="26"/>
        </w:rPr>
        <w:t>более 70</w:t>
      </w:r>
      <w:r w:rsidR="007D5F21" w:rsidRPr="00346652">
        <w:rPr>
          <w:rFonts w:ascii="Times New Roman" w:hAnsi="Times New Roman" w:cs="Times New Roman"/>
          <w:sz w:val="26"/>
          <w:szCs w:val="26"/>
        </w:rPr>
        <w:t xml:space="preserve">% заявителям </w:t>
      </w:r>
      <w:r w:rsidRPr="00346652">
        <w:rPr>
          <w:rFonts w:ascii="Times New Roman" w:hAnsi="Times New Roman" w:cs="Times New Roman"/>
          <w:sz w:val="26"/>
          <w:szCs w:val="26"/>
        </w:rPr>
        <w:t xml:space="preserve">отказано </w:t>
      </w:r>
      <w:r w:rsidR="005105D9">
        <w:rPr>
          <w:rFonts w:ascii="Times New Roman" w:hAnsi="Times New Roman" w:cs="Times New Roman"/>
          <w:sz w:val="26"/>
          <w:szCs w:val="26"/>
        </w:rPr>
        <w:t>в возбуждении дела</w:t>
      </w:r>
      <w:r w:rsidRPr="003466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5F21" w:rsidRDefault="009B0DD2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 xml:space="preserve">Причины отказов разные. </w:t>
      </w:r>
    </w:p>
    <w:p w:rsidR="007D5F21" w:rsidRDefault="009B0DD2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 xml:space="preserve">Это и </w:t>
      </w:r>
      <w:r w:rsidR="0025021E" w:rsidRPr="00346652">
        <w:rPr>
          <w:rFonts w:ascii="Times New Roman" w:hAnsi="Times New Roman" w:cs="Times New Roman"/>
          <w:sz w:val="26"/>
          <w:szCs w:val="26"/>
        </w:rPr>
        <w:t xml:space="preserve">отсутствие доминирующего положения хозяйствующего субъекта на </w:t>
      </w:r>
      <w:proofErr w:type="gramStart"/>
      <w:r w:rsidR="0025021E" w:rsidRPr="00346652">
        <w:rPr>
          <w:rFonts w:ascii="Times New Roman" w:hAnsi="Times New Roman" w:cs="Times New Roman"/>
          <w:sz w:val="26"/>
          <w:szCs w:val="26"/>
        </w:rPr>
        <w:t>рынке</w:t>
      </w:r>
      <w:proofErr w:type="gramEnd"/>
      <w:r w:rsidR="0025021E" w:rsidRPr="00346652">
        <w:rPr>
          <w:rFonts w:ascii="Times New Roman" w:hAnsi="Times New Roman" w:cs="Times New Roman"/>
          <w:sz w:val="26"/>
          <w:szCs w:val="26"/>
        </w:rPr>
        <w:t xml:space="preserve"> </w:t>
      </w:r>
      <w:r w:rsidR="007D5F21">
        <w:rPr>
          <w:rFonts w:ascii="Times New Roman" w:hAnsi="Times New Roman" w:cs="Times New Roman"/>
          <w:sz w:val="26"/>
          <w:szCs w:val="26"/>
        </w:rPr>
        <w:t xml:space="preserve">и </w:t>
      </w:r>
      <w:r w:rsidR="0025021E" w:rsidRPr="00346652">
        <w:rPr>
          <w:rFonts w:ascii="Times New Roman" w:hAnsi="Times New Roman" w:cs="Times New Roman"/>
          <w:sz w:val="26"/>
          <w:szCs w:val="26"/>
        </w:rPr>
        <w:t xml:space="preserve">отсутствие злоупотребления хозяйствующим субъектом своим доминирующим положением. </w:t>
      </w:r>
    </w:p>
    <w:p w:rsidR="00630D3A" w:rsidRDefault="00630D3A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5F21" w:rsidRDefault="0025021E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 xml:space="preserve">Около двадцати процентов </w:t>
      </w:r>
      <w:r w:rsidR="007D5F21">
        <w:rPr>
          <w:rFonts w:ascii="Times New Roman" w:hAnsi="Times New Roman" w:cs="Times New Roman"/>
          <w:sz w:val="26"/>
          <w:szCs w:val="26"/>
        </w:rPr>
        <w:t xml:space="preserve">поданных </w:t>
      </w:r>
      <w:r w:rsidRPr="00346652">
        <w:rPr>
          <w:rFonts w:ascii="Times New Roman" w:hAnsi="Times New Roman" w:cs="Times New Roman"/>
          <w:sz w:val="26"/>
          <w:szCs w:val="26"/>
        </w:rPr>
        <w:t>заявлений не относится к компетенции антимонопольных органов</w:t>
      </w:r>
      <w:r w:rsidR="007D5F21">
        <w:rPr>
          <w:rFonts w:ascii="Times New Roman" w:hAnsi="Times New Roman" w:cs="Times New Roman"/>
          <w:sz w:val="26"/>
          <w:szCs w:val="26"/>
        </w:rPr>
        <w:t>, поэтому были направлены Управлением по подведомственности</w:t>
      </w:r>
      <w:r w:rsidRPr="00346652">
        <w:rPr>
          <w:rFonts w:ascii="Times New Roman" w:hAnsi="Times New Roman" w:cs="Times New Roman"/>
          <w:sz w:val="26"/>
          <w:szCs w:val="26"/>
        </w:rPr>
        <w:t>.</w:t>
      </w:r>
    </w:p>
    <w:p w:rsidR="00EA2C48" w:rsidRDefault="00EA2C48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021E" w:rsidRPr="00346652" w:rsidRDefault="0025021E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>В 1</w:t>
      </w:r>
      <w:r w:rsidR="00630D3A">
        <w:rPr>
          <w:rFonts w:ascii="Times New Roman" w:hAnsi="Times New Roman" w:cs="Times New Roman"/>
          <w:sz w:val="26"/>
          <w:szCs w:val="26"/>
        </w:rPr>
        <w:t>0</w:t>
      </w:r>
      <w:r w:rsidRPr="00346652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Pr="00346652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346652">
        <w:rPr>
          <w:rFonts w:ascii="Times New Roman" w:hAnsi="Times New Roman" w:cs="Times New Roman"/>
          <w:sz w:val="26"/>
          <w:szCs w:val="26"/>
        </w:rPr>
        <w:t xml:space="preserve"> заявление не соответствует требованиям </w:t>
      </w:r>
      <w:r w:rsidR="007D5F21" w:rsidRPr="00346652">
        <w:rPr>
          <w:rFonts w:ascii="Times New Roman" w:hAnsi="Times New Roman" w:cs="Times New Roman"/>
          <w:sz w:val="26"/>
          <w:szCs w:val="26"/>
        </w:rPr>
        <w:t>к заявлению</w:t>
      </w:r>
      <w:r w:rsidR="007D5F21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Pr="00346652">
        <w:rPr>
          <w:rFonts w:ascii="Times New Roman" w:hAnsi="Times New Roman" w:cs="Times New Roman"/>
          <w:sz w:val="26"/>
          <w:szCs w:val="26"/>
        </w:rPr>
        <w:t>Закон</w:t>
      </w:r>
      <w:r w:rsidR="007D5F21">
        <w:rPr>
          <w:rFonts w:ascii="Times New Roman" w:hAnsi="Times New Roman" w:cs="Times New Roman"/>
          <w:sz w:val="26"/>
          <w:szCs w:val="26"/>
        </w:rPr>
        <w:t>ом</w:t>
      </w:r>
      <w:r w:rsidRPr="00346652">
        <w:rPr>
          <w:rFonts w:ascii="Times New Roman" w:hAnsi="Times New Roman" w:cs="Times New Roman"/>
          <w:sz w:val="26"/>
          <w:szCs w:val="26"/>
        </w:rPr>
        <w:t xml:space="preserve"> о защите конкуренции.</w:t>
      </w:r>
    </w:p>
    <w:p w:rsidR="00501442" w:rsidRPr="00346652" w:rsidRDefault="0025021E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>О</w:t>
      </w:r>
      <w:r w:rsidR="00501442" w:rsidRPr="00346652">
        <w:rPr>
          <w:rFonts w:ascii="Times New Roman" w:hAnsi="Times New Roman" w:cs="Times New Roman"/>
          <w:sz w:val="26"/>
          <w:szCs w:val="26"/>
        </w:rPr>
        <w:t>станов</w:t>
      </w:r>
      <w:r w:rsidRPr="00346652">
        <w:rPr>
          <w:rFonts w:ascii="Times New Roman" w:hAnsi="Times New Roman" w:cs="Times New Roman"/>
          <w:sz w:val="26"/>
          <w:szCs w:val="26"/>
        </w:rPr>
        <w:t xml:space="preserve">люсь </w:t>
      </w:r>
      <w:proofErr w:type="gramStart"/>
      <w:r w:rsidRPr="00346652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501442" w:rsidRPr="00346652">
        <w:rPr>
          <w:rFonts w:ascii="Times New Roman" w:hAnsi="Times New Roman" w:cs="Times New Roman"/>
          <w:sz w:val="26"/>
          <w:szCs w:val="26"/>
        </w:rPr>
        <w:t>подробней</w:t>
      </w:r>
      <w:proofErr w:type="gramEnd"/>
      <w:r w:rsidR="00501442" w:rsidRPr="00346652">
        <w:rPr>
          <w:rFonts w:ascii="Times New Roman" w:hAnsi="Times New Roman" w:cs="Times New Roman"/>
          <w:sz w:val="26"/>
          <w:szCs w:val="26"/>
        </w:rPr>
        <w:t xml:space="preserve"> на </w:t>
      </w:r>
      <w:r w:rsidRPr="00346652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501442" w:rsidRPr="00346652">
        <w:rPr>
          <w:rFonts w:ascii="Times New Roman" w:hAnsi="Times New Roman" w:cs="Times New Roman"/>
          <w:sz w:val="26"/>
          <w:szCs w:val="26"/>
        </w:rPr>
        <w:t>требованиях Закона к заявлению.</w:t>
      </w:r>
    </w:p>
    <w:p w:rsidR="00501442" w:rsidRPr="00346652" w:rsidRDefault="00501442" w:rsidP="003466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6652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Pr="00346652">
        <w:rPr>
          <w:rFonts w:ascii="Times New Roman" w:hAnsi="Times New Roman" w:cs="Times New Roman"/>
          <w:sz w:val="26"/>
          <w:szCs w:val="26"/>
        </w:rPr>
        <w:t>о</w:t>
      </w:r>
      <w:r w:rsidRPr="00346652">
        <w:rPr>
          <w:rFonts w:ascii="Times New Roman" w:eastAsia="Calibri" w:hAnsi="Times New Roman" w:cs="Times New Roman"/>
          <w:sz w:val="26"/>
          <w:szCs w:val="26"/>
        </w:rPr>
        <w:t xml:space="preserve"> стать</w:t>
      </w:r>
      <w:r w:rsidRPr="00346652">
        <w:rPr>
          <w:rFonts w:ascii="Times New Roman" w:hAnsi="Times New Roman" w:cs="Times New Roman"/>
          <w:sz w:val="26"/>
          <w:szCs w:val="26"/>
        </w:rPr>
        <w:t xml:space="preserve">ей </w:t>
      </w:r>
      <w:r w:rsidRPr="00346652">
        <w:rPr>
          <w:rFonts w:ascii="Times New Roman" w:eastAsia="Calibri" w:hAnsi="Times New Roman" w:cs="Times New Roman"/>
          <w:sz w:val="26"/>
          <w:szCs w:val="26"/>
        </w:rPr>
        <w:t>44 Закон</w:t>
      </w:r>
      <w:r w:rsidRPr="00346652">
        <w:rPr>
          <w:rFonts w:ascii="Times New Roman" w:hAnsi="Times New Roman" w:cs="Times New Roman"/>
          <w:sz w:val="26"/>
          <w:szCs w:val="26"/>
        </w:rPr>
        <w:t>а</w:t>
      </w:r>
      <w:r w:rsidRPr="00346652">
        <w:rPr>
          <w:rFonts w:ascii="Times New Roman" w:eastAsia="Calibri" w:hAnsi="Times New Roman" w:cs="Times New Roman"/>
          <w:sz w:val="26"/>
          <w:szCs w:val="26"/>
        </w:rPr>
        <w:t xml:space="preserve"> о защите конкуренции заявление в антимонопольный орган подается в письменной форме и должно содержать следующие сведения:</w:t>
      </w:r>
    </w:p>
    <w:p w:rsidR="00501442" w:rsidRPr="00346652" w:rsidRDefault="00501442" w:rsidP="00346652">
      <w:pPr>
        <w:pStyle w:val="1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346652">
        <w:rPr>
          <w:sz w:val="26"/>
          <w:szCs w:val="26"/>
        </w:rPr>
        <w:lastRenderedPageBreak/>
        <w:t>сведения о самом заявителе (фамилия, имя, отчество и адрес места жительства для физического лица; наименование и место нахождения для юридического лица);</w:t>
      </w:r>
    </w:p>
    <w:p w:rsidR="00501442" w:rsidRPr="00346652" w:rsidRDefault="007D5F21" w:rsidP="00346652">
      <w:pPr>
        <w:pStyle w:val="1"/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заявление должно содержать</w:t>
      </w:r>
      <w:r w:rsidR="00501442" w:rsidRPr="00346652">
        <w:rPr>
          <w:sz w:val="26"/>
          <w:szCs w:val="26"/>
        </w:rPr>
        <w:t xml:space="preserve"> имеющиеся у заявителя сведения о лице, </w:t>
      </w:r>
      <w:r>
        <w:rPr>
          <w:sz w:val="26"/>
          <w:szCs w:val="26"/>
        </w:rPr>
        <w:t>на которое он жалуется</w:t>
      </w:r>
      <w:r w:rsidR="00501442" w:rsidRPr="00346652">
        <w:rPr>
          <w:sz w:val="26"/>
          <w:szCs w:val="26"/>
        </w:rPr>
        <w:t>;</w:t>
      </w:r>
    </w:p>
    <w:p w:rsidR="00501442" w:rsidRPr="00346652" w:rsidRDefault="00501442" w:rsidP="00346652">
      <w:pPr>
        <w:pStyle w:val="1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346652">
        <w:rPr>
          <w:sz w:val="26"/>
          <w:szCs w:val="26"/>
        </w:rPr>
        <w:t>описание нарушения антимонопольного законодательства, и существо требований, с которыми заявитель обращается.</w:t>
      </w:r>
    </w:p>
    <w:p w:rsidR="007D5F21" w:rsidRDefault="00501442" w:rsidP="00346652">
      <w:pPr>
        <w:pStyle w:val="1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346652">
        <w:rPr>
          <w:sz w:val="26"/>
          <w:szCs w:val="26"/>
        </w:rPr>
        <w:t>К заявлению прилагаются документы, свидетельствующие о признаках нарушения антимонопольного законодательства.</w:t>
      </w:r>
      <w:r w:rsidR="00935BCA" w:rsidRPr="00346652">
        <w:rPr>
          <w:sz w:val="26"/>
          <w:szCs w:val="26"/>
        </w:rPr>
        <w:t xml:space="preserve"> </w:t>
      </w:r>
    </w:p>
    <w:p w:rsidR="00501442" w:rsidRPr="00346652" w:rsidRDefault="00935BCA" w:rsidP="00346652">
      <w:pPr>
        <w:pStyle w:val="1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346652">
        <w:rPr>
          <w:sz w:val="26"/>
          <w:szCs w:val="26"/>
        </w:rPr>
        <w:t>При этом</w:t>
      </w:r>
      <w:proofErr w:type="gramStart"/>
      <w:r w:rsidRPr="00346652">
        <w:rPr>
          <w:sz w:val="26"/>
          <w:szCs w:val="26"/>
        </w:rPr>
        <w:t>,</w:t>
      </w:r>
      <w:proofErr w:type="gramEnd"/>
      <w:r w:rsidRPr="00346652">
        <w:rPr>
          <w:sz w:val="26"/>
          <w:szCs w:val="26"/>
        </w:rPr>
        <w:t xml:space="preserve"> в</w:t>
      </w:r>
      <w:r w:rsidR="00501442" w:rsidRPr="00346652">
        <w:rPr>
          <w:sz w:val="26"/>
          <w:szCs w:val="26"/>
        </w:rPr>
        <w:t xml:space="preserve"> случае невозможности представления документов </w:t>
      </w:r>
      <w:r w:rsidRPr="00346652">
        <w:rPr>
          <w:sz w:val="26"/>
          <w:szCs w:val="26"/>
        </w:rPr>
        <w:t xml:space="preserve">заявитель может </w:t>
      </w:r>
      <w:r w:rsidR="00501442" w:rsidRPr="00346652">
        <w:rPr>
          <w:sz w:val="26"/>
          <w:szCs w:val="26"/>
        </w:rPr>
        <w:t>указ</w:t>
      </w:r>
      <w:r w:rsidRPr="00346652">
        <w:rPr>
          <w:sz w:val="26"/>
          <w:szCs w:val="26"/>
        </w:rPr>
        <w:t>ать</w:t>
      </w:r>
      <w:r w:rsidR="00501442" w:rsidRPr="00346652">
        <w:rPr>
          <w:sz w:val="26"/>
          <w:szCs w:val="26"/>
        </w:rPr>
        <w:t xml:space="preserve"> причин</w:t>
      </w:r>
      <w:r w:rsidRPr="00346652">
        <w:rPr>
          <w:sz w:val="26"/>
          <w:szCs w:val="26"/>
        </w:rPr>
        <w:t>у</w:t>
      </w:r>
      <w:r w:rsidR="00501442" w:rsidRPr="00346652">
        <w:rPr>
          <w:sz w:val="26"/>
          <w:szCs w:val="26"/>
        </w:rPr>
        <w:t xml:space="preserve"> невозможности их представления, а также </w:t>
      </w:r>
      <w:r w:rsidR="007D5F21">
        <w:rPr>
          <w:sz w:val="26"/>
          <w:szCs w:val="26"/>
        </w:rPr>
        <w:t>указать где эти</w:t>
      </w:r>
      <w:r w:rsidR="00501442" w:rsidRPr="00346652">
        <w:rPr>
          <w:sz w:val="26"/>
          <w:szCs w:val="26"/>
        </w:rPr>
        <w:t xml:space="preserve"> документы могут быть получены.</w:t>
      </w:r>
    </w:p>
    <w:p w:rsidR="00501442" w:rsidRPr="00346652" w:rsidRDefault="00DC212D" w:rsidP="00346652">
      <w:pPr>
        <w:pStyle w:val="1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346652">
        <w:rPr>
          <w:sz w:val="26"/>
          <w:szCs w:val="26"/>
        </w:rPr>
        <w:t xml:space="preserve">При отсутствии вышеуказанных сведений и документов, </w:t>
      </w:r>
      <w:r w:rsidR="00501442" w:rsidRPr="00346652">
        <w:rPr>
          <w:sz w:val="26"/>
          <w:szCs w:val="26"/>
        </w:rPr>
        <w:t xml:space="preserve">согласно части 3 статьи 44 Закона о защите конкуренции </w:t>
      </w:r>
      <w:r w:rsidR="005105D9">
        <w:rPr>
          <w:sz w:val="26"/>
          <w:szCs w:val="26"/>
        </w:rPr>
        <w:t>Управление</w:t>
      </w:r>
      <w:r w:rsidR="00501442" w:rsidRPr="00346652">
        <w:rPr>
          <w:sz w:val="26"/>
          <w:szCs w:val="26"/>
        </w:rPr>
        <w:t xml:space="preserve"> </w:t>
      </w:r>
      <w:r w:rsidR="009B0DD2" w:rsidRPr="00346652">
        <w:rPr>
          <w:sz w:val="26"/>
          <w:szCs w:val="26"/>
        </w:rPr>
        <w:t xml:space="preserve">может </w:t>
      </w:r>
      <w:r w:rsidR="00501442" w:rsidRPr="00346652">
        <w:rPr>
          <w:sz w:val="26"/>
          <w:szCs w:val="26"/>
        </w:rPr>
        <w:t>остав</w:t>
      </w:r>
      <w:r w:rsidR="009B0DD2" w:rsidRPr="00346652">
        <w:rPr>
          <w:sz w:val="26"/>
          <w:szCs w:val="26"/>
        </w:rPr>
        <w:t>ить</w:t>
      </w:r>
      <w:r w:rsidR="00501442" w:rsidRPr="00346652">
        <w:rPr>
          <w:sz w:val="26"/>
          <w:szCs w:val="26"/>
        </w:rPr>
        <w:t xml:space="preserve"> заявление </w:t>
      </w:r>
      <w:r w:rsidR="00501442" w:rsidRPr="00346652">
        <w:rPr>
          <w:b/>
          <w:sz w:val="26"/>
          <w:szCs w:val="26"/>
        </w:rPr>
        <w:t>без рассмотрения</w:t>
      </w:r>
      <w:r w:rsidR="00501442" w:rsidRPr="00346652">
        <w:rPr>
          <w:sz w:val="26"/>
          <w:szCs w:val="26"/>
        </w:rPr>
        <w:t>.</w:t>
      </w:r>
    </w:p>
    <w:p w:rsidR="005105D9" w:rsidRPr="00DB211C" w:rsidRDefault="005105D9" w:rsidP="00346652">
      <w:pPr>
        <w:pStyle w:val="1"/>
        <w:tabs>
          <w:tab w:val="left" w:pos="1276"/>
        </w:tabs>
        <w:ind w:firstLine="567"/>
        <w:jc w:val="both"/>
        <w:rPr>
          <w:i/>
          <w:sz w:val="26"/>
          <w:szCs w:val="26"/>
        </w:rPr>
      </w:pPr>
    </w:p>
    <w:p w:rsidR="00E67346" w:rsidRDefault="00E67346" w:rsidP="00E673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Только по 7 заявлениям из 135 рассмотренных в 3 квартале 2019 года заявлений Отделом возбуждены дела по признакам нарушения антимонопольного законодательства, </w:t>
      </w:r>
    </w:p>
    <w:p w:rsidR="00E67346" w:rsidRPr="00E67346" w:rsidRDefault="00E67346" w:rsidP="00E673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7346">
        <w:rPr>
          <w:rFonts w:ascii="Times New Roman" w:hAnsi="Times New Roman" w:cs="Times New Roman"/>
          <w:sz w:val="26"/>
          <w:szCs w:val="26"/>
          <w:u w:val="single"/>
        </w:rPr>
        <w:t>из них:</w:t>
      </w:r>
    </w:p>
    <w:p w:rsidR="00E67346" w:rsidRDefault="00E67346" w:rsidP="00E673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дел возбуждено по пункту 2 части 1 статьи 11 Закона о защите конкуренции за заключение устного соглашения, которое привело к </w:t>
      </w:r>
      <w:r w:rsidRPr="00CB6CAC">
        <w:rPr>
          <w:rFonts w:ascii="Times New Roman" w:hAnsi="Times New Roman" w:cs="Times New Roman"/>
          <w:sz w:val="26"/>
          <w:szCs w:val="26"/>
        </w:rPr>
        <w:t>поддержанию цен на торгах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7346" w:rsidRPr="00E67346" w:rsidRDefault="00E67346" w:rsidP="00E673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дело возбуждено по пункту 5 части 1 статьи 10 Закона о защите конкуренции в отношении Банка ВТБ (ПАО) за отказ открытия </w:t>
      </w:r>
      <w:r w:rsidRPr="00E67346">
        <w:rPr>
          <w:rFonts w:ascii="Times New Roman" w:hAnsi="Times New Roman" w:cs="Times New Roman"/>
          <w:sz w:val="26"/>
          <w:szCs w:val="26"/>
        </w:rPr>
        <w:t xml:space="preserve">отдельного счета, необходимого для осуществления расчетов по государственному контракту </w:t>
      </w:r>
      <w:r>
        <w:rPr>
          <w:rFonts w:ascii="Times New Roman" w:hAnsi="Times New Roman" w:cs="Times New Roman"/>
          <w:sz w:val="26"/>
          <w:szCs w:val="26"/>
        </w:rPr>
        <w:t>Исполнителю государственного оборонного заказа (</w:t>
      </w:r>
      <w:r w:rsidRPr="00E67346">
        <w:rPr>
          <w:rFonts w:ascii="Times New Roman" w:hAnsi="Times New Roman" w:cs="Times New Roman"/>
          <w:sz w:val="26"/>
          <w:szCs w:val="26"/>
        </w:rPr>
        <w:t>ФГУП «Машиностроительный завод имени Ф.Э.Дзержинского»);</w:t>
      </w:r>
    </w:p>
    <w:p w:rsidR="00E67346" w:rsidRDefault="00E67346" w:rsidP="00E673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7346">
        <w:rPr>
          <w:rFonts w:ascii="Times New Roman" w:hAnsi="Times New Roman" w:cs="Times New Roman"/>
          <w:sz w:val="26"/>
          <w:szCs w:val="26"/>
        </w:rPr>
        <w:t xml:space="preserve">1 дело </w:t>
      </w:r>
      <w:r>
        <w:rPr>
          <w:rFonts w:ascii="Times New Roman" w:hAnsi="Times New Roman" w:cs="Times New Roman"/>
          <w:sz w:val="26"/>
          <w:szCs w:val="26"/>
        </w:rPr>
        <w:t xml:space="preserve">возбуждено по пункту 1 части 1 статьи 10 Закона о защите конкуренции по заявлениям </w:t>
      </w:r>
      <w:r w:rsidRPr="00E67346">
        <w:rPr>
          <w:rFonts w:ascii="Times New Roman" w:hAnsi="Times New Roman" w:cs="Times New Roman"/>
          <w:sz w:val="26"/>
          <w:szCs w:val="26"/>
        </w:rPr>
        <w:t>специализированных организаций, осуществляющих деятельность по техническому обслуживанию и ремонту внутридомового и (или) внутриквартирного газового оборудования (ООО «</w:t>
      </w:r>
      <w:proofErr w:type="spellStart"/>
      <w:r w:rsidRPr="00E67346">
        <w:rPr>
          <w:rFonts w:ascii="Times New Roman" w:hAnsi="Times New Roman" w:cs="Times New Roman"/>
          <w:sz w:val="26"/>
          <w:szCs w:val="26"/>
        </w:rPr>
        <w:t>ПеГаз</w:t>
      </w:r>
      <w:proofErr w:type="spellEnd"/>
      <w:r w:rsidRPr="00E67346">
        <w:rPr>
          <w:rFonts w:ascii="Times New Roman" w:hAnsi="Times New Roman" w:cs="Times New Roman"/>
          <w:sz w:val="26"/>
          <w:szCs w:val="26"/>
        </w:rPr>
        <w:t>» и ООО «</w:t>
      </w:r>
      <w:proofErr w:type="spellStart"/>
      <w:r w:rsidRPr="00E67346">
        <w:rPr>
          <w:rFonts w:ascii="Times New Roman" w:hAnsi="Times New Roman" w:cs="Times New Roman"/>
          <w:sz w:val="26"/>
          <w:szCs w:val="26"/>
        </w:rPr>
        <w:t>ТопЛифт</w:t>
      </w:r>
      <w:proofErr w:type="spellEnd"/>
      <w:r w:rsidRPr="00E67346">
        <w:rPr>
          <w:rFonts w:ascii="Times New Roman" w:hAnsi="Times New Roman" w:cs="Times New Roman"/>
          <w:sz w:val="26"/>
          <w:szCs w:val="26"/>
        </w:rPr>
        <w:t xml:space="preserve">»), </w:t>
      </w:r>
      <w:r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E67346">
        <w:rPr>
          <w:rFonts w:ascii="Times New Roman" w:hAnsi="Times New Roman" w:cs="Times New Roman"/>
          <w:sz w:val="26"/>
          <w:szCs w:val="26"/>
        </w:rPr>
        <w:t>АО «Газпром газораспределение Пермь» в части установления монопольно высокой цены на аварийно-диспетчерское обеспечение.</w:t>
      </w:r>
      <w:proofErr w:type="gramEnd"/>
    </w:p>
    <w:p w:rsidR="00E67346" w:rsidRDefault="00E67346" w:rsidP="00DB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211C" w:rsidRPr="00CC1B7D" w:rsidRDefault="00DB211C" w:rsidP="00DB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3397">
        <w:rPr>
          <w:rFonts w:ascii="Times New Roman" w:hAnsi="Times New Roman" w:cs="Times New Roman"/>
          <w:sz w:val="26"/>
          <w:szCs w:val="26"/>
        </w:rPr>
        <w:t xml:space="preserve">В целях пресечения действий (бездействия), которые содержат признаки нарушения </w:t>
      </w:r>
      <w:hyperlink w:anchor="P217" w:history="1">
        <w:r w:rsidR="00E67346" w:rsidRPr="00AD7436">
          <w:rPr>
            <w:rFonts w:ascii="Times New Roman" w:hAnsi="Times New Roman" w:cs="Times New Roman"/>
            <w:sz w:val="26"/>
            <w:szCs w:val="26"/>
          </w:rPr>
          <w:t>пунктов 3</w:t>
        </w:r>
      </w:hyperlink>
      <w:r w:rsidR="00AD7436">
        <w:rPr>
          <w:rFonts w:ascii="Times New Roman" w:hAnsi="Times New Roman" w:cs="Times New Roman"/>
          <w:sz w:val="26"/>
          <w:szCs w:val="26"/>
        </w:rPr>
        <w:t xml:space="preserve"> (навязывание условий договора)</w:t>
      </w:r>
      <w:r w:rsidR="00E67346" w:rsidRPr="00AD743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19" w:history="1">
        <w:r w:rsidR="00E67346" w:rsidRPr="00AD7436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AD7436">
        <w:rPr>
          <w:rFonts w:ascii="Times New Roman" w:hAnsi="Times New Roman" w:cs="Times New Roman"/>
          <w:sz w:val="26"/>
          <w:szCs w:val="26"/>
        </w:rPr>
        <w:t xml:space="preserve"> (отказ от заключения договора)</w:t>
      </w:r>
      <w:r w:rsidR="00E67346" w:rsidRPr="00AD743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20" w:history="1">
        <w:r w:rsidR="00E67346" w:rsidRPr="00AD7436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AD7436">
        <w:rPr>
          <w:rFonts w:ascii="Times New Roman" w:hAnsi="Times New Roman" w:cs="Times New Roman"/>
          <w:sz w:val="26"/>
          <w:szCs w:val="26"/>
        </w:rPr>
        <w:t xml:space="preserve"> (</w:t>
      </w:r>
      <w:r w:rsidR="00AD7436" w:rsidRPr="00AD7436">
        <w:rPr>
          <w:rFonts w:ascii="Times New Roman" w:hAnsi="Times New Roman" w:cs="Times New Roman"/>
          <w:sz w:val="26"/>
          <w:szCs w:val="26"/>
        </w:rPr>
        <w:t>установление различных цен (тарифов) на один и тот же товар</w:t>
      </w:r>
      <w:r w:rsidR="00AD7436">
        <w:rPr>
          <w:rFonts w:ascii="Times New Roman" w:hAnsi="Times New Roman" w:cs="Times New Roman"/>
          <w:sz w:val="26"/>
          <w:szCs w:val="26"/>
        </w:rPr>
        <w:t>)</w:t>
      </w:r>
      <w:r w:rsidR="00E67346" w:rsidRPr="00AD743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22" w:history="1">
        <w:r w:rsidR="00E67346" w:rsidRPr="00AD7436">
          <w:rPr>
            <w:rFonts w:ascii="Times New Roman" w:hAnsi="Times New Roman" w:cs="Times New Roman"/>
            <w:sz w:val="26"/>
            <w:szCs w:val="26"/>
          </w:rPr>
          <w:t xml:space="preserve">8 </w:t>
        </w:r>
        <w:r w:rsidR="00AD7436">
          <w:rPr>
            <w:rFonts w:ascii="Times New Roman" w:hAnsi="Times New Roman" w:cs="Times New Roman"/>
            <w:sz w:val="26"/>
            <w:szCs w:val="26"/>
          </w:rPr>
          <w:t>(</w:t>
        </w:r>
        <w:r w:rsidR="00AD7436" w:rsidRPr="00AD7436">
          <w:rPr>
            <w:rFonts w:ascii="Times New Roman" w:hAnsi="Times New Roman" w:cs="Times New Roman"/>
            <w:sz w:val="26"/>
            <w:szCs w:val="26"/>
          </w:rPr>
          <w:t>создание дискриминационных условий</w:t>
        </w:r>
        <w:r w:rsidR="00AD7436">
          <w:rPr>
            <w:rFonts w:ascii="Times New Roman" w:hAnsi="Times New Roman" w:cs="Times New Roman"/>
            <w:sz w:val="26"/>
            <w:szCs w:val="26"/>
          </w:rPr>
          <w:t>)</w:t>
        </w:r>
        <w:r w:rsidR="00AD7436" w:rsidRPr="00AD7436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E67346" w:rsidRPr="00AD7436">
          <w:rPr>
            <w:rFonts w:ascii="Times New Roman" w:hAnsi="Times New Roman" w:cs="Times New Roman"/>
            <w:sz w:val="26"/>
            <w:szCs w:val="26"/>
          </w:rPr>
          <w:t>части 1 статьи 10</w:t>
        </w:r>
      </w:hyperlink>
      <w:r w:rsidR="00E67346" w:rsidRPr="00AD7436">
        <w:rPr>
          <w:rFonts w:ascii="Times New Roman" w:hAnsi="Times New Roman" w:cs="Times New Roman"/>
          <w:sz w:val="26"/>
          <w:szCs w:val="26"/>
        </w:rPr>
        <w:t xml:space="preserve"> Закона о защите конкуренции</w:t>
      </w:r>
      <w:r w:rsidRPr="007E3397">
        <w:rPr>
          <w:rFonts w:ascii="Times New Roman" w:hAnsi="Times New Roman" w:cs="Times New Roman"/>
          <w:sz w:val="26"/>
          <w:szCs w:val="26"/>
        </w:rPr>
        <w:t xml:space="preserve">, </w:t>
      </w:r>
      <w:r w:rsidR="00AD7436">
        <w:rPr>
          <w:rFonts w:ascii="Times New Roman" w:hAnsi="Times New Roman" w:cs="Times New Roman"/>
          <w:sz w:val="26"/>
          <w:szCs w:val="26"/>
        </w:rPr>
        <w:t>О</w:t>
      </w:r>
      <w:r w:rsidRPr="007E3397">
        <w:rPr>
          <w:rFonts w:ascii="Times New Roman" w:hAnsi="Times New Roman" w:cs="Times New Roman"/>
          <w:sz w:val="26"/>
          <w:szCs w:val="26"/>
        </w:rPr>
        <w:t>тдел выдает хозяйствующему субъекту, предупреждение в письменной форме о прекращении указанных.</w:t>
      </w:r>
      <w:proofErr w:type="gramEnd"/>
    </w:p>
    <w:p w:rsidR="00DB211C" w:rsidRDefault="00DB211C" w:rsidP="00DB21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Отмечу, что в случае исполнения предупреждения </w:t>
      </w:r>
      <w:r w:rsidRPr="00CC1B7D">
        <w:rPr>
          <w:rFonts w:ascii="Times New Roman" w:hAnsi="Times New Roman" w:cs="Times New Roman"/>
          <w:sz w:val="26"/>
          <w:szCs w:val="26"/>
        </w:rPr>
        <w:t>лицо, выполнившее предупреждение, не подлежит административной ответственности за нарушение ан</w:t>
      </w:r>
      <w:r>
        <w:rPr>
          <w:rFonts w:ascii="Times New Roman" w:hAnsi="Times New Roman" w:cs="Times New Roman"/>
          <w:sz w:val="26"/>
          <w:szCs w:val="26"/>
        </w:rPr>
        <w:t>тимонопольного законодательства,</w:t>
      </w:r>
      <w:r w:rsidR="00EA2C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в</w:t>
      </w:r>
      <w:r w:rsidRPr="00CC1B7D">
        <w:rPr>
          <w:rFonts w:ascii="Times New Roman" w:hAnsi="Times New Roman" w:cs="Times New Roman"/>
          <w:sz w:val="26"/>
          <w:szCs w:val="26"/>
        </w:rPr>
        <w:t xml:space="preserve"> случае невыполнения предупреждения в установленный срок антимонопольный орган обязан принять решение о возбуждении дела о нарушении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, которое будет иметь для лица, не исполнившего предупреждение</w:t>
      </w:r>
      <w:r w:rsidR="00CF163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все негативные последствия</w:t>
      </w:r>
      <w:r w:rsidR="00CF163B">
        <w:rPr>
          <w:rFonts w:ascii="Times New Roman" w:hAnsi="Times New Roman" w:cs="Times New Roman"/>
          <w:sz w:val="26"/>
          <w:szCs w:val="26"/>
        </w:rPr>
        <w:t>.</w:t>
      </w:r>
    </w:p>
    <w:p w:rsidR="00AD7436" w:rsidRDefault="00AD7436" w:rsidP="00AD7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3 </w:t>
      </w:r>
      <w:proofErr w:type="gramStart"/>
      <w:r>
        <w:rPr>
          <w:rFonts w:ascii="Times New Roman" w:hAnsi="Times New Roman" w:cs="Times New Roman"/>
          <w:sz w:val="26"/>
          <w:szCs w:val="26"/>
        </w:rPr>
        <w:t>квартале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2019 года Отделом </w:t>
      </w:r>
      <w:r w:rsidRPr="00346652">
        <w:rPr>
          <w:rFonts w:ascii="Times New Roman" w:hAnsi="Times New Roman" w:cs="Times New Roman"/>
          <w:sz w:val="26"/>
          <w:szCs w:val="26"/>
        </w:rPr>
        <w:t>предупреждени</w:t>
      </w:r>
      <w:r>
        <w:rPr>
          <w:rFonts w:ascii="Times New Roman" w:hAnsi="Times New Roman" w:cs="Times New Roman"/>
          <w:sz w:val="26"/>
          <w:szCs w:val="26"/>
        </w:rPr>
        <w:t>й не выдавалось.</w:t>
      </w:r>
    </w:p>
    <w:p w:rsidR="00AD7436" w:rsidRDefault="00AD7436" w:rsidP="00CF1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Однако в связи с неисполнением Банком ВТБ (ПАО) предупреждения о прекращении пункта 5 части 1 статьи 10 Закона о защите конкуренции, выданное Банку в мае </w:t>
      </w:r>
      <w:r w:rsidR="00CF163B" w:rsidRPr="00CF163B">
        <w:rPr>
          <w:rFonts w:ascii="Times New Roman" w:hAnsi="Times New Roman" w:cs="Times New Roman"/>
          <w:sz w:val="26"/>
          <w:szCs w:val="26"/>
        </w:rPr>
        <w:t>2019</w:t>
      </w:r>
      <w:r w:rsidR="00CF163B">
        <w:rPr>
          <w:rFonts w:ascii="Times New Roman" w:hAnsi="Times New Roman" w:cs="Times New Roman"/>
          <w:sz w:val="26"/>
          <w:szCs w:val="26"/>
        </w:rPr>
        <w:t> </w:t>
      </w:r>
      <w:r w:rsidR="00CF163B" w:rsidRPr="00CF163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ода, в отношении Банка </w:t>
      </w:r>
      <w:r w:rsidR="00CF163B" w:rsidRPr="00CF163B">
        <w:rPr>
          <w:rFonts w:ascii="Times New Roman" w:hAnsi="Times New Roman" w:cs="Times New Roman"/>
          <w:sz w:val="26"/>
          <w:szCs w:val="26"/>
        </w:rPr>
        <w:t xml:space="preserve">возбуждено дело о нарушении антимонопольного законодательства № 059/01/10-593/2019. По результатам рассмотрения дела Банку ВТБ (ПАО) предписано открыть отдельный счет ФГУП «Машиностроительный завод имени Ф.Э.Дзержинского» (Исполнителю </w:t>
      </w:r>
      <w:proofErr w:type="spellStart"/>
      <w:r w:rsidR="00CF163B" w:rsidRPr="00CF163B">
        <w:rPr>
          <w:rFonts w:ascii="Times New Roman" w:hAnsi="Times New Roman" w:cs="Times New Roman"/>
          <w:sz w:val="26"/>
          <w:szCs w:val="26"/>
        </w:rPr>
        <w:t>гособоронзаказа</w:t>
      </w:r>
      <w:proofErr w:type="spellEnd"/>
      <w:r w:rsidR="00CF163B" w:rsidRPr="00CF163B">
        <w:rPr>
          <w:rFonts w:ascii="Times New Roman" w:hAnsi="Times New Roman" w:cs="Times New Roman"/>
          <w:sz w:val="26"/>
          <w:szCs w:val="26"/>
        </w:rPr>
        <w:t>) отдельного счета, необходимого для осуществления расчетов по государственному контракту от 28.01.2019г. на изготовление и поставку изделий АО «БХЗ им. 50-летия СССР». Предписание исполнено в срок.</w:t>
      </w:r>
      <w:r w:rsidR="00CF16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163B" w:rsidRDefault="00AD7436" w:rsidP="00CF1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F163B">
        <w:rPr>
          <w:rFonts w:ascii="Times New Roman" w:hAnsi="Times New Roman" w:cs="Times New Roman"/>
          <w:sz w:val="26"/>
          <w:szCs w:val="26"/>
        </w:rPr>
        <w:t xml:space="preserve"> связи с неисполнением предупреждения Банк</w:t>
      </w:r>
      <w:r>
        <w:rPr>
          <w:rFonts w:ascii="Times New Roman" w:hAnsi="Times New Roman" w:cs="Times New Roman"/>
          <w:sz w:val="26"/>
          <w:szCs w:val="26"/>
        </w:rPr>
        <w:t xml:space="preserve"> не подпадает под освобождение от административной ответственности и теперь</w:t>
      </w:r>
      <w:r w:rsidR="00B03D00">
        <w:rPr>
          <w:rFonts w:ascii="Times New Roman" w:hAnsi="Times New Roman" w:cs="Times New Roman"/>
          <w:b/>
          <w:sz w:val="26"/>
          <w:szCs w:val="26"/>
        </w:rPr>
        <w:t xml:space="preserve"> Банку грозит штраф </w:t>
      </w:r>
      <w:r w:rsidR="00CF163B" w:rsidRPr="00DB211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D3D68" w:rsidRPr="00AD3D68">
        <w:rPr>
          <w:rFonts w:ascii="Times New Roman" w:hAnsi="Times New Roman" w:cs="Times New Roman"/>
          <w:b/>
          <w:sz w:val="26"/>
          <w:szCs w:val="26"/>
        </w:rPr>
        <w:t>трехсот тысяч до одного миллиона рублей</w:t>
      </w:r>
      <w:r w:rsidR="00B03D00">
        <w:rPr>
          <w:rFonts w:ascii="Times New Roman" w:hAnsi="Times New Roman" w:cs="Times New Roman"/>
          <w:b/>
          <w:sz w:val="26"/>
          <w:szCs w:val="26"/>
        </w:rPr>
        <w:t>, а</w:t>
      </w:r>
      <w:r w:rsidR="00B03D00" w:rsidRPr="00AD3D68">
        <w:rPr>
          <w:rFonts w:ascii="Times New Roman" w:hAnsi="Times New Roman" w:cs="Times New Roman"/>
          <w:b/>
          <w:sz w:val="26"/>
          <w:szCs w:val="26"/>
        </w:rPr>
        <w:t xml:space="preserve"> должностному лицу Банка - </w:t>
      </w:r>
      <w:r w:rsidR="00B03D00" w:rsidRPr="00DB211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D3D68">
        <w:rPr>
          <w:rFonts w:ascii="Times New Roman" w:hAnsi="Times New Roman" w:cs="Times New Roman"/>
          <w:b/>
          <w:sz w:val="26"/>
          <w:szCs w:val="26"/>
        </w:rPr>
        <w:t>15</w:t>
      </w:r>
      <w:r w:rsidR="00B03D00" w:rsidRPr="00DB211C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="00AD3D68">
        <w:rPr>
          <w:rFonts w:ascii="Times New Roman" w:hAnsi="Times New Roman" w:cs="Times New Roman"/>
          <w:b/>
          <w:sz w:val="26"/>
          <w:szCs w:val="26"/>
        </w:rPr>
        <w:t>20</w:t>
      </w:r>
      <w:r w:rsidR="00B03D00" w:rsidRPr="00DB211C">
        <w:rPr>
          <w:rFonts w:ascii="Times New Roman" w:hAnsi="Times New Roman" w:cs="Times New Roman"/>
          <w:b/>
          <w:sz w:val="26"/>
          <w:szCs w:val="26"/>
        </w:rPr>
        <w:t xml:space="preserve"> тысяч рублей</w:t>
      </w:r>
      <w:r w:rsidR="00B03D00">
        <w:rPr>
          <w:rFonts w:ascii="Times New Roman" w:hAnsi="Times New Roman" w:cs="Times New Roman"/>
          <w:b/>
          <w:sz w:val="26"/>
          <w:szCs w:val="26"/>
        </w:rPr>
        <w:t>.</w:t>
      </w:r>
    </w:p>
    <w:p w:rsidR="00FE250E" w:rsidRDefault="00B9053B" w:rsidP="00FE2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30D3A">
        <w:rPr>
          <w:rFonts w:ascii="Times New Roman" w:hAnsi="Times New Roman" w:cs="Times New Roman"/>
          <w:sz w:val="26"/>
          <w:szCs w:val="26"/>
        </w:rPr>
        <w:t>3 квартале</w:t>
      </w:r>
      <w:r>
        <w:rPr>
          <w:rFonts w:ascii="Times New Roman" w:hAnsi="Times New Roman" w:cs="Times New Roman"/>
          <w:sz w:val="26"/>
          <w:szCs w:val="26"/>
        </w:rPr>
        <w:t xml:space="preserve"> 2019 года Отделом </w:t>
      </w:r>
      <w:r w:rsidR="00584238">
        <w:rPr>
          <w:rFonts w:ascii="Times New Roman" w:hAnsi="Times New Roman" w:cs="Times New Roman"/>
          <w:sz w:val="26"/>
          <w:szCs w:val="26"/>
        </w:rPr>
        <w:t xml:space="preserve">вынесено 2 решения о признании нарушения </w:t>
      </w:r>
      <w:r w:rsidR="00FB4D35" w:rsidRPr="00346652">
        <w:rPr>
          <w:rFonts w:ascii="Times New Roman" w:hAnsi="Times New Roman" w:cs="Times New Roman"/>
          <w:sz w:val="26"/>
          <w:szCs w:val="26"/>
        </w:rPr>
        <w:t xml:space="preserve">пункта 2 части 1 </w:t>
      </w:r>
      <w:r w:rsidR="003B249C" w:rsidRPr="00346652">
        <w:rPr>
          <w:rFonts w:ascii="Times New Roman" w:hAnsi="Times New Roman" w:cs="Times New Roman"/>
          <w:sz w:val="26"/>
          <w:szCs w:val="26"/>
        </w:rPr>
        <w:t>статьи 11 Закона о защите конкуренции</w:t>
      </w:r>
      <w:r w:rsidR="00FB4D35" w:rsidRPr="00346652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CB6CAC">
        <w:rPr>
          <w:rFonts w:ascii="Times New Roman" w:hAnsi="Times New Roman" w:cs="Times New Roman"/>
          <w:sz w:val="26"/>
          <w:szCs w:val="26"/>
        </w:rPr>
        <w:t xml:space="preserve">заключения хозяйствующими субъектами устного соглашения, которое привело к </w:t>
      </w:r>
      <w:r w:rsidR="00CB6CAC" w:rsidRPr="00CB6CAC">
        <w:rPr>
          <w:rFonts w:ascii="Times New Roman" w:hAnsi="Times New Roman" w:cs="Times New Roman"/>
          <w:sz w:val="26"/>
          <w:szCs w:val="26"/>
        </w:rPr>
        <w:t>поддержанию цен на торгах.</w:t>
      </w:r>
      <w:r w:rsidR="00FE250E" w:rsidRPr="00FE250E">
        <w:rPr>
          <w:rFonts w:ascii="Times New Roman" w:hAnsi="Times New Roman" w:cs="Times New Roman"/>
          <w:sz w:val="26"/>
          <w:szCs w:val="26"/>
        </w:rPr>
        <w:t xml:space="preserve"> </w:t>
      </w:r>
      <w:r w:rsidR="00FE250E">
        <w:rPr>
          <w:rFonts w:ascii="Times New Roman" w:hAnsi="Times New Roman" w:cs="Times New Roman"/>
          <w:sz w:val="26"/>
          <w:szCs w:val="26"/>
        </w:rPr>
        <w:t>Оба дела возбуждены в от</w:t>
      </w:r>
      <w:r w:rsidR="007A5267">
        <w:rPr>
          <w:rFonts w:ascii="Times New Roman" w:hAnsi="Times New Roman" w:cs="Times New Roman"/>
          <w:sz w:val="26"/>
          <w:szCs w:val="26"/>
        </w:rPr>
        <w:t xml:space="preserve">ношении хозяйствующих субъектов, участвующих в </w:t>
      </w:r>
      <w:r w:rsidR="007A5267" w:rsidRPr="00346652">
        <w:rPr>
          <w:rFonts w:ascii="Times New Roman" w:hAnsi="Times New Roman" w:cs="Times New Roman"/>
          <w:sz w:val="26"/>
          <w:szCs w:val="26"/>
        </w:rPr>
        <w:t>открытых аукцион</w:t>
      </w:r>
      <w:r w:rsidR="007A5267">
        <w:rPr>
          <w:rFonts w:ascii="Times New Roman" w:hAnsi="Times New Roman" w:cs="Times New Roman"/>
          <w:sz w:val="26"/>
          <w:szCs w:val="26"/>
        </w:rPr>
        <w:t>ах</w:t>
      </w:r>
      <w:r w:rsidR="007A5267" w:rsidRPr="00346652">
        <w:rPr>
          <w:rFonts w:ascii="Times New Roman" w:hAnsi="Times New Roman" w:cs="Times New Roman"/>
          <w:sz w:val="26"/>
          <w:szCs w:val="26"/>
        </w:rPr>
        <w:t xml:space="preserve"> в электронной форме на о</w:t>
      </w:r>
      <w:r w:rsidR="007A5267" w:rsidRPr="001E3141">
        <w:rPr>
          <w:rFonts w:ascii="Times New Roman" w:hAnsi="Times New Roman" w:cs="Times New Roman"/>
          <w:sz w:val="26"/>
          <w:szCs w:val="26"/>
        </w:rPr>
        <w:t>казание услуг по транспортированию твердых коммунальных отходов на территории Пермского края</w:t>
      </w:r>
      <w:r w:rsidR="007A5267">
        <w:rPr>
          <w:rFonts w:ascii="Times New Roman" w:hAnsi="Times New Roman" w:cs="Times New Roman"/>
          <w:sz w:val="26"/>
          <w:szCs w:val="26"/>
        </w:rPr>
        <w:t xml:space="preserve">, </w:t>
      </w:r>
      <w:r w:rsidR="00FE250E" w:rsidRPr="00346652">
        <w:rPr>
          <w:rFonts w:ascii="Times New Roman" w:hAnsi="Times New Roman" w:cs="Times New Roman"/>
          <w:sz w:val="26"/>
          <w:szCs w:val="26"/>
        </w:rPr>
        <w:t>пров</w:t>
      </w:r>
      <w:r w:rsidR="007A5267">
        <w:rPr>
          <w:rFonts w:ascii="Times New Roman" w:hAnsi="Times New Roman" w:cs="Times New Roman"/>
          <w:sz w:val="26"/>
          <w:szCs w:val="26"/>
        </w:rPr>
        <w:t xml:space="preserve">одимых </w:t>
      </w:r>
      <w:r w:rsidR="00FE250E" w:rsidRPr="00DB211C">
        <w:rPr>
          <w:rFonts w:ascii="Times New Roman" w:hAnsi="Times New Roman" w:cs="Times New Roman"/>
          <w:b/>
          <w:sz w:val="26"/>
          <w:szCs w:val="26"/>
        </w:rPr>
        <w:t>Региональным оператором по обращению с твердыми коммунальными отходами в Пермском крае - ПКГУП «</w:t>
      </w:r>
      <w:proofErr w:type="spellStart"/>
      <w:r w:rsidR="00FE250E" w:rsidRPr="00DB211C">
        <w:rPr>
          <w:rFonts w:ascii="Times New Roman" w:hAnsi="Times New Roman" w:cs="Times New Roman"/>
          <w:b/>
          <w:sz w:val="26"/>
          <w:szCs w:val="26"/>
        </w:rPr>
        <w:t>Теплоэнерго</w:t>
      </w:r>
      <w:proofErr w:type="spellEnd"/>
      <w:r w:rsidR="00FE250E" w:rsidRPr="00DB211C">
        <w:rPr>
          <w:rFonts w:ascii="Times New Roman" w:hAnsi="Times New Roman" w:cs="Times New Roman"/>
          <w:b/>
          <w:sz w:val="26"/>
          <w:szCs w:val="26"/>
        </w:rPr>
        <w:t>»</w:t>
      </w:r>
      <w:r w:rsidR="007A5267">
        <w:rPr>
          <w:rFonts w:ascii="Times New Roman" w:hAnsi="Times New Roman" w:cs="Times New Roman"/>
          <w:b/>
          <w:sz w:val="26"/>
          <w:szCs w:val="26"/>
        </w:rPr>
        <w:t>.</w:t>
      </w:r>
    </w:p>
    <w:p w:rsidR="00FE250E" w:rsidRPr="001E3141" w:rsidRDefault="00FE250E" w:rsidP="00FE2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Отделом </w:t>
      </w:r>
      <w:r w:rsidRPr="001E3141">
        <w:rPr>
          <w:rFonts w:ascii="Times New Roman" w:hAnsi="Times New Roman" w:cs="Times New Roman"/>
          <w:sz w:val="26"/>
          <w:szCs w:val="26"/>
        </w:rPr>
        <w:t>выяв</w:t>
      </w:r>
      <w:r>
        <w:rPr>
          <w:rFonts w:ascii="Times New Roman" w:hAnsi="Times New Roman" w:cs="Times New Roman"/>
          <w:sz w:val="26"/>
          <w:szCs w:val="26"/>
        </w:rPr>
        <w:t>лены</w:t>
      </w:r>
      <w:r w:rsidRPr="001E3141">
        <w:rPr>
          <w:rFonts w:ascii="Times New Roman" w:hAnsi="Times New Roman" w:cs="Times New Roman"/>
          <w:sz w:val="26"/>
          <w:szCs w:val="26"/>
        </w:rPr>
        <w:t xml:space="preserve"> признаки картелей на </w:t>
      </w:r>
      <w:r w:rsidR="007A5267">
        <w:rPr>
          <w:rFonts w:ascii="Times New Roman" w:hAnsi="Times New Roman" w:cs="Times New Roman"/>
          <w:sz w:val="26"/>
          <w:szCs w:val="26"/>
        </w:rPr>
        <w:t>4</w:t>
      </w:r>
      <w:r w:rsidRPr="001E3141">
        <w:rPr>
          <w:rFonts w:ascii="Times New Roman" w:hAnsi="Times New Roman" w:cs="Times New Roman"/>
          <w:sz w:val="26"/>
          <w:szCs w:val="26"/>
        </w:rPr>
        <w:t xml:space="preserve"> лотах, общая сумма контрактов по которым составила </w:t>
      </w:r>
      <w:r w:rsidR="007A5267">
        <w:rPr>
          <w:rFonts w:ascii="Times New Roman" w:hAnsi="Times New Roman" w:cs="Times New Roman"/>
          <w:b/>
          <w:sz w:val="26"/>
          <w:szCs w:val="26"/>
        </w:rPr>
        <w:t xml:space="preserve">около </w:t>
      </w:r>
      <w:r w:rsidR="00B76E4B">
        <w:rPr>
          <w:rFonts w:ascii="Times New Roman" w:hAnsi="Times New Roman" w:cs="Times New Roman"/>
          <w:b/>
          <w:sz w:val="26"/>
          <w:szCs w:val="26"/>
        </w:rPr>
        <w:t>одного миллиарда</w:t>
      </w:r>
      <w:r w:rsidRPr="00DB211C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Pr="001E3141">
        <w:rPr>
          <w:rFonts w:ascii="Times New Roman" w:hAnsi="Times New Roman" w:cs="Times New Roman"/>
          <w:sz w:val="26"/>
          <w:szCs w:val="26"/>
        </w:rPr>
        <w:t>.</w:t>
      </w:r>
    </w:p>
    <w:p w:rsidR="00FE250E" w:rsidRDefault="00FE250E" w:rsidP="00FE250E">
      <w:pPr>
        <w:tabs>
          <w:tab w:val="left" w:pos="6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E3141">
        <w:rPr>
          <w:rFonts w:ascii="Times New Roman" w:hAnsi="Times New Roman" w:cs="Times New Roman"/>
          <w:color w:val="000000"/>
          <w:sz w:val="26"/>
          <w:szCs w:val="26"/>
        </w:rPr>
        <w:t>Необходимо отметить, что в ходе рассмотрения дела</w:t>
      </w:r>
      <w:r w:rsidR="007A5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03D00" w:rsidRPr="00CF163B">
        <w:rPr>
          <w:rFonts w:ascii="Times New Roman" w:hAnsi="Times New Roman" w:cs="Times New Roman"/>
          <w:sz w:val="26"/>
          <w:szCs w:val="26"/>
        </w:rPr>
        <w:t>№ 059/01/1</w:t>
      </w:r>
      <w:r w:rsidR="00B03D00">
        <w:rPr>
          <w:rFonts w:ascii="Times New Roman" w:hAnsi="Times New Roman" w:cs="Times New Roman"/>
          <w:sz w:val="26"/>
          <w:szCs w:val="26"/>
        </w:rPr>
        <w:t>1</w:t>
      </w:r>
      <w:r w:rsidR="00B03D00" w:rsidRPr="00CF163B">
        <w:rPr>
          <w:rFonts w:ascii="Times New Roman" w:hAnsi="Times New Roman" w:cs="Times New Roman"/>
          <w:sz w:val="26"/>
          <w:szCs w:val="26"/>
        </w:rPr>
        <w:t>-</w:t>
      </w:r>
      <w:r w:rsidR="00B03D00">
        <w:rPr>
          <w:rFonts w:ascii="Times New Roman" w:hAnsi="Times New Roman" w:cs="Times New Roman"/>
          <w:sz w:val="26"/>
          <w:szCs w:val="26"/>
        </w:rPr>
        <w:t>250</w:t>
      </w:r>
      <w:r w:rsidR="00B03D00" w:rsidRPr="00CF163B">
        <w:rPr>
          <w:rFonts w:ascii="Times New Roman" w:hAnsi="Times New Roman" w:cs="Times New Roman"/>
          <w:sz w:val="26"/>
          <w:szCs w:val="26"/>
        </w:rPr>
        <w:t>/2019</w:t>
      </w:r>
      <w:r w:rsidR="00B03D00">
        <w:rPr>
          <w:rFonts w:ascii="Times New Roman" w:hAnsi="Times New Roman" w:cs="Times New Roman"/>
          <w:sz w:val="26"/>
          <w:szCs w:val="26"/>
        </w:rPr>
        <w:t xml:space="preserve"> </w:t>
      </w:r>
      <w:r w:rsidR="007A5267">
        <w:rPr>
          <w:rFonts w:ascii="Times New Roman" w:hAnsi="Times New Roman" w:cs="Times New Roman"/>
          <w:color w:val="000000"/>
          <w:sz w:val="26"/>
          <w:szCs w:val="26"/>
        </w:rPr>
        <w:t>в отношении ООО «</w:t>
      </w:r>
      <w:proofErr w:type="spellStart"/>
      <w:r w:rsidR="007A5267">
        <w:rPr>
          <w:rFonts w:ascii="Times New Roman" w:hAnsi="Times New Roman" w:cs="Times New Roman"/>
          <w:color w:val="000000"/>
          <w:sz w:val="26"/>
          <w:szCs w:val="26"/>
        </w:rPr>
        <w:t>ВМ-Транс</w:t>
      </w:r>
      <w:proofErr w:type="spellEnd"/>
      <w:r w:rsidR="007A5267">
        <w:rPr>
          <w:rFonts w:ascii="Times New Roman" w:hAnsi="Times New Roman" w:cs="Times New Roman"/>
          <w:color w:val="000000"/>
          <w:sz w:val="26"/>
          <w:szCs w:val="26"/>
        </w:rPr>
        <w:t>», ООО «</w:t>
      </w:r>
      <w:proofErr w:type="spellStart"/>
      <w:r w:rsidR="007A5267">
        <w:rPr>
          <w:rFonts w:ascii="Times New Roman" w:hAnsi="Times New Roman" w:cs="Times New Roman"/>
          <w:color w:val="000000"/>
          <w:sz w:val="26"/>
          <w:szCs w:val="26"/>
        </w:rPr>
        <w:t>ВМ-Сервис</w:t>
      </w:r>
      <w:proofErr w:type="spellEnd"/>
      <w:r w:rsidR="007A5267">
        <w:rPr>
          <w:rFonts w:ascii="Times New Roman" w:hAnsi="Times New Roman" w:cs="Times New Roman"/>
          <w:color w:val="000000"/>
          <w:sz w:val="26"/>
          <w:szCs w:val="26"/>
        </w:rPr>
        <w:t xml:space="preserve">» и ИП </w:t>
      </w:r>
      <w:proofErr w:type="spellStart"/>
      <w:r w:rsidR="007A5267">
        <w:rPr>
          <w:rFonts w:ascii="Times New Roman" w:hAnsi="Times New Roman" w:cs="Times New Roman"/>
          <w:color w:val="000000"/>
          <w:sz w:val="26"/>
          <w:szCs w:val="26"/>
        </w:rPr>
        <w:t>Манакина</w:t>
      </w:r>
      <w:proofErr w:type="spellEnd"/>
      <w:r w:rsidR="007A5267">
        <w:rPr>
          <w:rFonts w:ascii="Times New Roman" w:hAnsi="Times New Roman" w:cs="Times New Roman"/>
          <w:color w:val="000000"/>
          <w:sz w:val="26"/>
          <w:szCs w:val="26"/>
        </w:rPr>
        <w:t xml:space="preserve"> Т.А Ответчики </w:t>
      </w:r>
      <w:r w:rsidRPr="001E3141">
        <w:rPr>
          <w:rFonts w:ascii="Times New Roman" w:hAnsi="Times New Roman" w:cs="Times New Roman"/>
          <w:color w:val="000000"/>
          <w:sz w:val="26"/>
          <w:szCs w:val="26"/>
        </w:rPr>
        <w:t xml:space="preserve">не скрывали совместную координацию своих действий на торгах, однако </w:t>
      </w:r>
      <w:r w:rsidRPr="00EA2C48">
        <w:rPr>
          <w:rFonts w:ascii="Times New Roman" w:hAnsi="Times New Roman" w:cs="Times New Roman"/>
          <w:color w:val="000000"/>
          <w:sz w:val="26"/>
          <w:szCs w:val="26"/>
        </w:rPr>
        <w:t>на добровольное признание нарушения</w:t>
      </w:r>
      <w:r w:rsidRPr="001E3141">
        <w:rPr>
          <w:rFonts w:ascii="Times New Roman" w:hAnsi="Times New Roman" w:cs="Times New Roman"/>
          <w:color w:val="000000"/>
          <w:sz w:val="26"/>
          <w:szCs w:val="26"/>
        </w:rPr>
        <w:t>, которое позволило бы им минимизировать или даже вовсе избежать административного наказания, не пошли, поскольку считают, что в данном конкретном случае соглашение должно быть признано</w:t>
      </w:r>
      <w:proofErr w:type="gramEnd"/>
      <w:r w:rsidRPr="001E31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E3141">
        <w:rPr>
          <w:rFonts w:ascii="Times New Roman" w:hAnsi="Times New Roman" w:cs="Times New Roman"/>
          <w:color w:val="000000"/>
          <w:sz w:val="26"/>
          <w:szCs w:val="26"/>
        </w:rPr>
        <w:t>допустимым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частями 7, 8 статьи 11 Закона о защите конкуренции</w:t>
      </w:r>
      <w:r w:rsidRPr="001E314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E250E" w:rsidRDefault="00FE250E" w:rsidP="00FE250E">
      <w:pPr>
        <w:tabs>
          <w:tab w:val="left" w:pos="6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3141">
        <w:rPr>
          <w:rFonts w:ascii="Times New Roman" w:hAnsi="Times New Roman" w:cs="Times New Roman"/>
          <w:color w:val="000000"/>
          <w:sz w:val="26"/>
          <w:szCs w:val="26"/>
        </w:rPr>
        <w:t>Комиссия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рассматривающая дело в отношении указанных участников картельного сговора </w:t>
      </w:r>
      <w:r w:rsidRPr="001E3141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их доказательствами не </w:t>
      </w:r>
      <w:r w:rsidRPr="001E3141">
        <w:rPr>
          <w:rFonts w:ascii="Times New Roman" w:hAnsi="Times New Roman" w:cs="Times New Roman"/>
          <w:color w:val="000000"/>
          <w:sz w:val="26"/>
          <w:szCs w:val="26"/>
        </w:rPr>
        <w:t>согласилась и вынесла решение не в пользу Ответчиков.</w:t>
      </w:r>
    </w:p>
    <w:p w:rsidR="007A5267" w:rsidRDefault="007A5267" w:rsidP="007A5267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доказательства заключения запрещенного статьей 11 Закона о защите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конкуренции соглашения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антимонопольному органу (в случае отсутствия письменного соглашения) необходимо доказать совокупность косвенных признаков сговора. </w:t>
      </w:r>
    </w:p>
    <w:p w:rsidR="007A5267" w:rsidRPr="00346652" w:rsidRDefault="007A5267" w:rsidP="007A5267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часто встречающиеся признаки сговора:</w:t>
      </w:r>
    </w:p>
    <w:p w:rsidR="007A5267" w:rsidRPr="00CB6CAC" w:rsidRDefault="007A5267" w:rsidP="007A5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CAC">
        <w:rPr>
          <w:rFonts w:ascii="Times New Roman" w:hAnsi="Times New Roman" w:cs="Times New Roman"/>
          <w:b/>
          <w:bCs/>
          <w:sz w:val="26"/>
          <w:szCs w:val="26"/>
        </w:rPr>
        <w:t xml:space="preserve">заявки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торгах участниками сговора </w:t>
      </w:r>
      <w:r w:rsidRPr="00CB6CAC">
        <w:rPr>
          <w:rFonts w:ascii="Times New Roman" w:hAnsi="Times New Roman" w:cs="Times New Roman"/>
          <w:b/>
          <w:bCs/>
          <w:sz w:val="26"/>
          <w:szCs w:val="26"/>
        </w:rPr>
        <w:t>оформл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яются </w:t>
      </w:r>
      <w:r w:rsidRPr="00CB6CAC">
        <w:rPr>
          <w:rFonts w:ascii="Times New Roman" w:hAnsi="Times New Roman" w:cs="Times New Roman"/>
          <w:b/>
          <w:bCs/>
          <w:sz w:val="26"/>
          <w:szCs w:val="26"/>
        </w:rPr>
        <w:t>на одном и том же компьютере, одним и тем же лицом;</w:t>
      </w:r>
    </w:p>
    <w:p w:rsidR="007A5267" w:rsidRPr="00CB6CAC" w:rsidRDefault="007A5267" w:rsidP="007A5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CAC">
        <w:rPr>
          <w:rFonts w:ascii="Times New Roman" w:hAnsi="Times New Roman" w:cs="Times New Roman"/>
          <w:b/>
          <w:bCs/>
          <w:sz w:val="26"/>
          <w:szCs w:val="26"/>
        </w:rPr>
        <w:t>заявки подаются последовательно, с разницей в несколько минут с одного IP-адреса;</w:t>
      </w:r>
    </w:p>
    <w:p w:rsidR="007A5267" w:rsidRPr="00CB6CAC" w:rsidRDefault="007A5267" w:rsidP="007A5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CAC">
        <w:rPr>
          <w:rFonts w:ascii="Times New Roman" w:hAnsi="Times New Roman" w:cs="Times New Roman"/>
          <w:sz w:val="26"/>
          <w:szCs w:val="26"/>
        </w:rPr>
        <w:t xml:space="preserve">с </w:t>
      </w:r>
      <w:r w:rsidR="00400EBC">
        <w:rPr>
          <w:rFonts w:ascii="Times New Roman" w:hAnsi="Times New Roman" w:cs="Times New Roman"/>
          <w:sz w:val="26"/>
          <w:szCs w:val="26"/>
        </w:rPr>
        <w:t xml:space="preserve">одного и </w:t>
      </w:r>
      <w:r w:rsidRPr="00CB6CAC">
        <w:rPr>
          <w:rFonts w:ascii="Times New Roman" w:hAnsi="Times New Roman" w:cs="Times New Roman"/>
          <w:sz w:val="26"/>
          <w:szCs w:val="26"/>
        </w:rPr>
        <w:t xml:space="preserve">того же </w:t>
      </w:r>
      <w:r w:rsidRPr="00CB6CAC">
        <w:rPr>
          <w:rFonts w:ascii="Times New Roman" w:hAnsi="Times New Roman" w:cs="Times New Roman"/>
          <w:b/>
          <w:bCs/>
          <w:sz w:val="26"/>
          <w:szCs w:val="26"/>
        </w:rPr>
        <w:t>IP-адреса</w:t>
      </w:r>
      <w:r w:rsidRPr="00CB6CAC">
        <w:rPr>
          <w:rFonts w:ascii="Times New Roman" w:hAnsi="Times New Roman" w:cs="Times New Roman"/>
          <w:sz w:val="26"/>
          <w:szCs w:val="26"/>
        </w:rPr>
        <w:t xml:space="preserve"> подаются</w:t>
      </w:r>
      <w:r w:rsidRPr="00CB6CAC">
        <w:rPr>
          <w:rFonts w:ascii="Times New Roman" w:hAnsi="Times New Roman" w:cs="Times New Roman"/>
          <w:b/>
          <w:bCs/>
          <w:sz w:val="26"/>
          <w:szCs w:val="26"/>
        </w:rPr>
        <w:t xml:space="preserve"> ценовые предложения участников;</w:t>
      </w:r>
    </w:p>
    <w:p w:rsidR="007A5267" w:rsidRPr="00CB6CAC" w:rsidRDefault="007A5267" w:rsidP="007A5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CAC">
        <w:rPr>
          <w:rFonts w:ascii="Times New Roman" w:hAnsi="Times New Roman" w:cs="Times New Roman"/>
          <w:b/>
          <w:bCs/>
          <w:sz w:val="26"/>
          <w:szCs w:val="26"/>
        </w:rPr>
        <w:t>тесное деловое сотрудничество участников картеля;</w:t>
      </w:r>
    </w:p>
    <w:p w:rsidR="00400EBC" w:rsidRPr="00400EBC" w:rsidRDefault="007A5267" w:rsidP="00400EBC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также признаками сговора явля</w:t>
      </w:r>
      <w:r w:rsidR="00400EBC">
        <w:rPr>
          <w:rFonts w:ascii="Times New Roman" w:hAnsi="Times New Roman" w:cs="Times New Roman"/>
          <w:b/>
          <w:bCs/>
          <w:sz w:val="26"/>
          <w:szCs w:val="26"/>
        </w:rPr>
        <w:t>ются:</w:t>
      </w:r>
    </w:p>
    <w:p w:rsidR="007A5267" w:rsidRDefault="007A5267" w:rsidP="007A5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6CAC">
        <w:rPr>
          <w:rFonts w:ascii="Times New Roman" w:hAnsi="Times New Roman" w:cs="Times New Roman"/>
          <w:b/>
          <w:bCs/>
          <w:sz w:val="26"/>
          <w:szCs w:val="26"/>
        </w:rPr>
        <w:t xml:space="preserve">нелогичное поведение на аукционе одного из участников </w:t>
      </w:r>
      <w:r w:rsidRPr="00CB6CAC">
        <w:rPr>
          <w:rFonts w:ascii="Times New Roman" w:hAnsi="Times New Roman" w:cs="Times New Roman"/>
          <w:sz w:val="26"/>
          <w:szCs w:val="26"/>
        </w:rPr>
        <w:t>(например, снижение на 1 копейку, отказ от заключения контракта в случае победы);</w:t>
      </w:r>
    </w:p>
    <w:p w:rsidR="00400EBC" w:rsidRDefault="00400EBC" w:rsidP="00400E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CAC">
        <w:rPr>
          <w:rFonts w:ascii="Times New Roman" w:hAnsi="Times New Roman" w:cs="Times New Roman"/>
          <w:b/>
          <w:bCs/>
          <w:sz w:val="26"/>
          <w:szCs w:val="26"/>
        </w:rPr>
        <w:lastRenderedPageBreak/>
        <w:t>выдача одним из участников беспроцентного (иногда многомиллионного) займа</w:t>
      </w:r>
      <w:r w:rsidRPr="00CB6CAC">
        <w:rPr>
          <w:rFonts w:ascii="Times New Roman" w:hAnsi="Times New Roman" w:cs="Times New Roman"/>
          <w:sz w:val="26"/>
          <w:szCs w:val="26"/>
        </w:rPr>
        <w:t xml:space="preserve"> другому у</w:t>
      </w:r>
      <w:r>
        <w:rPr>
          <w:rFonts w:ascii="Times New Roman" w:hAnsi="Times New Roman" w:cs="Times New Roman"/>
          <w:sz w:val="26"/>
          <w:szCs w:val="26"/>
        </w:rPr>
        <w:t>частнику для обеспечения заявки;</w:t>
      </w:r>
    </w:p>
    <w:p w:rsidR="007A5267" w:rsidRPr="00346652" w:rsidRDefault="007A5267" w:rsidP="007A5267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4232" w:rsidRDefault="007A5267" w:rsidP="007A5267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Именно по такой схеме действовали участники как первого</w:t>
      </w:r>
      <w:r w:rsidR="00B03D00">
        <w:rPr>
          <w:rFonts w:ascii="Times New Roman" w:hAnsi="Times New Roman" w:cs="Times New Roman"/>
          <w:sz w:val="26"/>
          <w:szCs w:val="26"/>
        </w:rPr>
        <w:t xml:space="preserve"> </w:t>
      </w:r>
      <w:r w:rsidR="00B03D00" w:rsidRPr="00CF163B">
        <w:rPr>
          <w:rFonts w:ascii="Times New Roman" w:hAnsi="Times New Roman" w:cs="Times New Roman"/>
          <w:sz w:val="26"/>
          <w:szCs w:val="26"/>
        </w:rPr>
        <w:t>№ 059/01/1</w:t>
      </w:r>
      <w:r w:rsidR="00B03D00">
        <w:rPr>
          <w:rFonts w:ascii="Times New Roman" w:hAnsi="Times New Roman" w:cs="Times New Roman"/>
          <w:sz w:val="26"/>
          <w:szCs w:val="26"/>
        </w:rPr>
        <w:t>1</w:t>
      </w:r>
      <w:r w:rsidR="00B03D00" w:rsidRPr="00CF163B">
        <w:rPr>
          <w:rFonts w:ascii="Times New Roman" w:hAnsi="Times New Roman" w:cs="Times New Roman"/>
          <w:sz w:val="26"/>
          <w:szCs w:val="26"/>
        </w:rPr>
        <w:t>-</w:t>
      </w:r>
      <w:r w:rsidR="00B03D00">
        <w:rPr>
          <w:rFonts w:ascii="Times New Roman" w:hAnsi="Times New Roman" w:cs="Times New Roman"/>
          <w:sz w:val="26"/>
          <w:szCs w:val="26"/>
        </w:rPr>
        <w:t>250</w:t>
      </w:r>
      <w:r w:rsidR="00B03D00" w:rsidRPr="00CF163B">
        <w:rPr>
          <w:rFonts w:ascii="Times New Roman" w:hAnsi="Times New Roman" w:cs="Times New Roman"/>
          <w:sz w:val="26"/>
          <w:szCs w:val="26"/>
        </w:rPr>
        <w:t>/2019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3D0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ВМ-Транс</w:t>
      </w:r>
      <w:proofErr w:type="spellEnd"/>
      <w:r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ВМ-Сервис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B03D00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Манакин</w:t>
      </w:r>
      <w:r w:rsidR="00B03D00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B03D0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так и второго </w:t>
      </w:r>
      <w:r w:rsidR="00B03D00" w:rsidRPr="00CF163B">
        <w:rPr>
          <w:rFonts w:ascii="Times New Roman" w:hAnsi="Times New Roman" w:cs="Times New Roman"/>
          <w:sz w:val="26"/>
          <w:szCs w:val="26"/>
        </w:rPr>
        <w:t>№ 059/01/1</w:t>
      </w:r>
      <w:r w:rsidR="00B03D00">
        <w:rPr>
          <w:rFonts w:ascii="Times New Roman" w:hAnsi="Times New Roman" w:cs="Times New Roman"/>
          <w:sz w:val="26"/>
          <w:szCs w:val="26"/>
        </w:rPr>
        <w:t>1</w:t>
      </w:r>
      <w:r w:rsidR="00B03D00" w:rsidRPr="00CF163B">
        <w:rPr>
          <w:rFonts w:ascii="Times New Roman" w:hAnsi="Times New Roman" w:cs="Times New Roman"/>
          <w:sz w:val="26"/>
          <w:szCs w:val="26"/>
        </w:rPr>
        <w:t>-</w:t>
      </w:r>
      <w:r w:rsidR="00B03D00">
        <w:rPr>
          <w:rFonts w:ascii="Times New Roman" w:hAnsi="Times New Roman" w:cs="Times New Roman"/>
          <w:sz w:val="26"/>
          <w:szCs w:val="26"/>
        </w:rPr>
        <w:t>292</w:t>
      </w:r>
      <w:r w:rsidR="00B03D00" w:rsidRPr="00CF163B">
        <w:rPr>
          <w:rFonts w:ascii="Times New Roman" w:hAnsi="Times New Roman" w:cs="Times New Roman"/>
          <w:sz w:val="26"/>
          <w:szCs w:val="26"/>
        </w:rPr>
        <w:t>/2019</w:t>
      </w:r>
      <w:r w:rsidR="00B03D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(ООО «Босфор»,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Сана-М</w:t>
      </w:r>
      <w:proofErr w:type="spellEnd"/>
      <w:r>
        <w:rPr>
          <w:rFonts w:ascii="Times New Roman" w:hAnsi="Times New Roman" w:cs="Times New Roman"/>
          <w:sz w:val="26"/>
          <w:szCs w:val="26"/>
        </w:rPr>
        <w:t>») картел</w:t>
      </w:r>
      <w:r w:rsidR="00204232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при проведении торгов</w:t>
      </w:r>
      <w:r w:rsidR="00204232">
        <w:rPr>
          <w:rFonts w:ascii="Times New Roman" w:hAnsi="Times New Roman" w:cs="Times New Roman"/>
          <w:sz w:val="26"/>
          <w:szCs w:val="26"/>
        </w:rPr>
        <w:t>.</w:t>
      </w:r>
    </w:p>
    <w:p w:rsidR="007A5267" w:rsidRPr="00003B2C" w:rsidRDefault="007A5267" w:rsidP="007A5267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003B2C">
        <w:rPr>
          <w:rFonts w:ascii="Times New Roman" w:hAnsi="Times New Roman" w:cs="Times New Roman"/>
          <w:sz w:val="26"/>
          <w:szCs w:val="26"/>
        </w:rPr>
        <w:t xml:space="preserve">аявки </w:t>
      </w:r>
      <w:r>
        <w:rPr>
          <w:rFonts w:ascii="Times New Roman" w:hAnsi="Times New Roman" w:cs="Times New Roman"/>
          <w:sz w:val="26"/>
          <w:szCs w:val="26"/>
        </w:rPr>
        <w:t>участников</w:t>
      </w:r>
      <w:r w:rsidRPr="00003B2C">
        <w:rPr>
          <w:rFonts w:ascii="Times New Roman" w:hAnsi="Times New Roman" w:cs="Times New Roman"/>
          <w:sz w:val="26"/>
          <w:szCs w:val="26"/>
        </w:rPr>
        <w:t xml:space="preserve"> были поданы </w:t>
      </w:r>
      <w:r>
        <w:rPr>
          <w:rFonts w:ascii="Times New Roman" w:hAnsi="Times New Roman" w:cs="Times New Roman"/>
          <w:sz w:val="26"/>
          <w:szCs w:val="26"/>
        </w:rPr>
        <w:t>на аукцион</w:t>
      </w:r>
      <w:r w:rsidR="00B76E4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3B2C">
        <w:rPr>
          <w:rFonts w:ascii="Times New Roman" w:hAnsi="Times New Roman" w:cs="Times New Roman"/>
          <w:sz w:val="26"/>
          <w:szCs w:val="26"/>
        </w:rPr>
        <w:t xml:space="preserve">в один день с разницей в </w:t>
      </w:r>
      <w:r>
        <w:rPr>
          <w:rFonts w:ascii="Times New Roman" w:hAnsi="Times New Roman" w:cs="Times New Roman"/>
          <w:sz w:val="26"/>
          <w:szCs w:val="26"/>
        </w:rPr>
        <w:t xml:space="preserve">несколько </w:t>
      </w:r>
      <w:r w:rsidRPr="00003B2C">
        <w:rPr>
          <w:rFonts w:ascii="Times New Roman" w:hAnsi="Times New Roman" w:cs="Times New Roman"/>
          <w:sz w:val="26"/>
          <w:szCs w:val="26"/>
        </w:rPr>
        <w:t xml:space="preserve">минут с одного и того же IP-адреса. </w:t>
      </w:r>
    </w:p>
    <w:p w:rsidR="007A5267" w:rsidRDefault="007A5267" w:rsidP="007A5267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3B2C">
        <w:rPr>
          <w:rFonts w:ascii="Times New Roman" w:hAnsi="Times New Roman" w:cs="Times New Roman"/>
          <w:sz w:val="26"/>
          <w:szCs w:val="26"/>
        </w:rPr>
        <w:t xml:space="preserve">Пары текстовых файлов с первыми частями заявок </w:t>
      </w:r>
      <w:r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Pr="00003B2C">
        <w:rPr>
          <w:rFonts w:ascii="Times New Roman" w:hAnsi="Times New Roman" w:cs="Times New Roman"/>
          <w:sz w:val="26"/>
          <w:szCs w:val="26"/>
        </w:rPr>
        <w:t>явля</w:t>
      </w:r>
      <w:r>
        <w:rPr>
          <w:rFonts w:ascii="Times New Roman" w:hAnsi="Times New Roman" w:cs="Times New Roman"/>
          <w:sz w:val="26"/>
          <w:szCs w:val="26"/>
        </w:rPr>
        <w:t xml:space="preserve">лись </w:t>
      </w:r>
      <w:r w:rsidRPr="00003B2C">
        <w:rPr>
          <w:rFonts w:ascii="Times New Roman" w:hAnsi="Times New Roman" w:cs="Times New Roman"/>
          <w:sz w:val="26"/>
          <w:szCs w:val="26"/>
        </w:rPr>
        <w:t>абсолютно идентичными по содержанию и стилю, а также созданы на одном компьютере в одно и то же время одним и тем же пользователем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4232" w:rsidRDefault="007A5267" w:rsidP="007A5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Соглашение позволило участникам заключить контракт</w:t>
      </w:r>
      <w:r w:rsidRPr="00003B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минимально-допустимым </w:t>
      </w:r>
      <w:r w:rsidRPr="00003B2C">
        <w:rPr>
          <w:rFonts w:ascii="Times New Roman" w:hAnsi="Times New Roman" w:cs="Times New Roman"/>
          <w:sz w:val="26"/>
          <w:szCs w:val="26"/>
        </w:rPr>
        <w:t>снижение</w:t>
      </w:r>
      <w:r>
        <w:rPr>
          <w:rFonts w:ascii="Times New Roman" w:hAnsi="Times New Roman" w:cs="Times New Roman"/>
          <w:sz w:val="26"/>
          <w:szCs w:val="26"/>
        </w:rPr>
        <w:t xml:space="preserve">м начальной максимальной цены </w:t>
      </w:r>
      <w:r w:rsidRPr="00003B2C">
        <w:rPr>
          <w:rFonts w:ascii="Times New Roman" w:hAnsi="Times New Roman" w:cs="Times New Roman"/>
          <w:sz w:val="26"/>
          <w:szCs w:val="26"/>
        </w:rPr>
        <w:t>на 0,5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B76E4B" w:rsidRDefault="00B76E4B" w:rsidP="00B76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результате реализации достигнутых соглашений с</w:t>
      </w:r>
      <w:r w:rsidR="007A5267">
        <w:rPr>
          <w:rFonts w:ascii="Times New Roman" w:hAnsi="Times New Roman" w:cs="Times New Roman"/>
          <w:sz w:val="26"/>
          <w:szCs w:val="26"/>
        </w:rPr>
        <w:t>у</w:t>
      </w:r>
      <w:r w:rsidR="007A5267" w:rsidRPr="00346652">
        <w:rPr>
          <w:rFonts w:ascii="Times New Roman" w:hAnsi="Times New Roman" w:cs="Times New Roman"/>
          <w:sz w:val="26"/>
          <w:szCs w:val="26"/>
        </w:rPr>
        <w:t xml:space="preserve">мма контрактов по </w:t>
      </w:r>
      <w:r w:rsidR="00204232">
        <w:rPr>
          <w:rFonts w:ascii="Times New Roman" w:hAnsi="Times New Roman" w:cs="Times New Roman"/>
          <w:sz w:val="26"/>
          <w:szCs w:val="26"/>
        </w:rPr>
        <w:t xml:space="preserve">первому делу (три аукциона </w:t>
      </w:r>
      <w:r w:rsidR="00204232" w:rsidRPr="00B76E4B">
        <w:rPr>
          <w:rFonts w:ascii="Times New Roman" w:eastAsia="Calibri" w:hAnsi="Times New Roman" w:cs="Times New Roman"/>
          <w:sz w:val="26"/>
          <w:szCs w:val="26"/>
        </w:rPr>
        <w:t>на право заключения договора на оказание услуг по транспортированию твердых коммунальных отходов на территории Пермского края</w:t>
      </w:r>
      <w:r w:rsidR="00204232" w:rsidRPr="00B76E4B">
        <w:rPr>
          <w:rFonts w:ascii="Times New Roman" w:hAnsi="Times New Roman" w:cs="Times New Roman"/>
          <w:sz w:val="26"/>
          <w:szCs w:val="26"/>
        </w:rPr>
        <w:t>)</w:t>
      </w:r>
      <w:r w:rsidR="00204232" w:rsidRPr="00B76E4B">
        <w:rPr>
          <w:rFonts w:ascii="Times New Roman" w:eastAsia="Calibri" w:hAnsi="Times New Roman" w:cs="Times New Roman"/>
          <w:sz w:val="26"/>
          <w:szCs w:val="26"/>
        </w:rPr>
        <w:t xml:space="preserve"> составила </w:t>
      </w:r>
      <w:r w:rsidRPr="00B76E4B">
        <w:rPr>
          <w:rFonts w:ascii="Times New Roman" w:hAnsi="Times New Roman" w:cs="Times New Roman"/>
          <w:sz w:val="26"/>
          <w:szCs w:val="26"/>
        </w:rPr>
        <w:t>около 800 миллионов рублей (</w:t>
      </w:r>
      <w:r w:rsidR="00204232" w:rsidRPr="00B76E4B">
        <w:rPr>
          <w:rFonts w:ascii="Times New Roman" w:eastAsia="Calibri" w:hAnsi="Times New Roman" w:cs="Times New Roman"/>
          <w:sz w:val="26"/>
          <w:szCs w:val="26"/>
        </w:rPr>
        <w:t>784 367 624,14 рублей</w:t>
      </w:r>
      <w:r w:rsidRPr="00B76E4B">
        <w:rPr>
          <w:rFonts w:ascii="Times New Roman" w:hAnsi="Times New Roman" w:cs="Times New Roman"/>
          <w:sz w:val="26"/>
          <w:szCs w:val="26"/>
        </w:rPr>
        <w:t>)</w:t>
      </w:r>
      <w:r w:rsidR="00204232" w:rsidRPr="00B76E4B">
        <w:rPr>
          <w:rFonts w:ascii="Times New Roman" w:eastAsia="Calibri" w:hAnsi="Times New Roman" w:cs="Times New Roman"/>
          <w:sz w:val="26"/>
          <w:szCs w:val="26"/>
        </w:rPr>
        <w:t>, а достигнутая экономия бюджетных средств на аукционах составила 0%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76E4B" w:rsidRPr="00B76E4B" w:rsidRDefault="00B76E4B" w:rsidP="007A5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второму делу сумма контракта</w:t>
      </w:r>
      <w:r w:rsidR="00204232">
        <w:rPr>
          <w:rFonts w:ascii="Times New Roman" w:hAnsi="Times New Roman" w:cs="Times New Roman"/>
          <w:sz w:val="26"/>
          <w:szCs w:val="26"/>
        </w:rPr>
        <w:t xml:space="preserve"> </w:t>
      </w:r>
      <w:r w:rsidR="007A5267" w:rsidRPr="00346652">
        <w:rPr>
          <w:rFonts w:ascii="Times New Roman" w:hAnsi="Times New Roman" w:cs="Times New Roman"/>
          <w:sz w:val="26"/>
          <w:szCs w:val="26"/>
        </w:rPr>
        <w:t xml:space="preserve">составила </w:t>
      </w:r>
      <w:r>
        <w:rPr>
          <w:rFonts w:ascii="Times New Roman" w:hAnsi="Times New Roman" w:cs="Times New Roman"/>
          <w:sz w:val="26"/>
          <w:szCs w:val="26"/>
        </w:rPr>
        <w:t>186</w:t>
      </w:r>
      <w:r w:rsidR="00204232">
        <w:rPr>
          <w:rFonts w:ascii="Times New Roman" w:hAnsi="Times New Roman" w:cs="Times New Roman"/>
          <w:sz w:val="26"/>
          <w:szCs w:val="26"/>
        </w:rPr>
        <w:t xml:space="preserve"> </w:t>
      </w:r>
      <w:r w:rsidR="007A5267" w:rsidRPr="00346652">
        <w:rPr>
          <w:rFonts w:ascii="Times New Roman" w:hAnsi="Times New Roman" w:cs="Times New Roman"/>
          <w:sz w:val="26"/>
          <w:szCs w:val="26"/>
        </w:rPr>
        <w:t>млн. рублей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76E4B">
        <w:rPr>
          <w:rFonts w:ascii="Times New Roman" w:eastAsia="Calibri" w:hAnsi="Times New Roman" w:cs="Times New Roman"/>
          <w:sz w:val="26"/>
          <w:szCs w:val="26"/>
        </w:rPr>
        <w:t xml:space="preserve">было подано единственное ценовое предложение </w:t>
      </w:r>
      <w:r w:rsidRPr="00B76E4B">
        <w:rPr>
          <w:rFonts w:ascii="Times New Roman" w:hAnsi="Times New Roman" w:cs="Times New Roman"/>
          <w:sz w:val="26"/>
          <w:szCs w:val="26"/>
        </w:rPr>
        <w:t xml:space="preserve">с </w:t>
      </w:r>
      <w:r w:rsidRPr="00B76E4B">
        <w:rPr>
          <w:rFonts w:ascii="Times New Roman" w:eastAsia="Calibri" w:hAnsi="Times New Roman" w:cs="Times New Roman"/>
          <w:sz w:val="26"/>
          <w:szCs w:val="26"/>
        </w:rPr>
        <w:t>минимально допустим</w:t>
      </w:r>
      <w:r w:rsidRPr="00B76E4B">
        <w:rPr>
          <w:rFonts w:ascii="Times New Roman" w:hAnsi="Times New Roman" w:cs="Times New Roman"/>
          <w:sz w:val="26"/>
          <w:szCs w:val="26"/>
        </w:rPr>
        <w:t>ым</w:t>
      </w:r>
      <w:r w:rsidRPr="00B76E4B">
        <w:rPr>
          <w:rFonts w:ascii="Times New Roman" w:eastAsia="Calibri" w:hAnsi="Times New Roman" w:cs="Times New Roman"/>
          <w:sz w:val="26"/>
          <w:szCs w:val="26"/>
        </w:rPr>
        <w:t xml:space="preserve"> снижение</w:t>
      </w:r>
      <w:r w:rsidRPr="00B76E4B">
        <w:rPr>
          <w:rFonts w:ascii="Times New Roman" w:hAnsi="Times New Roman" w:cs="Times New Roman"/>
          <w:sz w:val="26"/>
          <w:szCs w:val="26"/>
        </w:rPr>
        <w:t>м</w:t>
      </w:r>
      <w:r w:rsidRPr="00B76E4B">
        <w:rPr>
          <w:rFonts w:ascii="Times New Roman" w:eastAsia="Calibri" w:hAnsi="Times New Roman" w:cs="Times New Roman"/>
          <w:sz w:val="26"/>
          <w:szCs w:val="26"/>
        </w:rPr>
        <w:t xml:space="preserve"> НМЦК на 0,5%</w:t>
      </w:r>
      <w:r w:rsidRPr="00B76E4B">
        <w:rPr>
          <w:rFonts w:ascii="Times New Roman" w:hAnsi="Times New Roman" w:cs="Times New Roman"/>
          <w:sz w:val="26"/>
          <w:szCs w:val="26"/>
        </w:rPr>
        <w:t>.</w:t>
      </w:r>
    </w:p>
    <w:p w:rsidR="007A5267" w:rsidRDefault="007A5267" w:rsidP="00FE250E">
      <w:pPr>
        <w:tabs>
          <w:tab w:val="left" w:pos="6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E250E" w:rsidRPr="001E3141" w:rsidRDefault="00FE250E" w:rsidP="00FE250E">
      <w:pPr>
        <w:tabs>
          <w:tab w:val="left" w:pos="6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Стоит отметить, что после признания картеля в</w:t>
      </w:r>
      <w:r w:rsidRPr="001E3141">
        <w:rPr>
          <w:rFonts w:ascii="Times New Roman" w:hAnsi="Times New Roman" w:cs="Times New Roman"/>
          <w:color w:val="000000"/>
          <w:sz w:val="26"/>
          <w:szCs w:val="26"/>
        </w:rPr>
        <w:t xml:space="preserve"> отношении юридических и должностных лиц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Управлением </w:t>
      </w:r>
      <w:r w:rsidRPr="001E3141">
        <w:rPr>
          <w:rFonts w:ascii="Times New Roman" w:hAnsi="Times New Roman" w:cs="Times New Roman"/>
          <w:color w:val="000000"/>
          <w:sz w:val="26"/>
          <w:szCs w:val="26"/>
        </w:rPr>
        <w:t>возбужд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аются дела об </w:t>
      </w:r>
      <w:r w:rsidRPr="001E3141">
        <w:rPr>
          <w:rFonts w:ascii="Times New Roman" w:hAnsi="Times New Roman" w:cs="Times New Roman"/>
          <w:color w:val="000000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color w:val="000000"/>
          <w:sz w:val="26"/>
          <w:szCs w:val="26"/>
        </w:rPr>
        <w:t>ом правонарушении по части 2 статьи 14.42 административного кодекса</w:t>
      </w:r>
      <w:r w:rsidRPr="001E314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E3141">
        <w:rPr>
          <w:rFonts w:ascii="Times New Roman" w:hAnsi="Times New Roman" w:cs="Times New Roman"/>
          <w:color w:val="000000"/>
          <w:sz w:val="26"/>
          <w:szCs w:val="26"/>
        </w:rPr>
        <w:t>Картельщикам</w:t>
      </w:r>
      <w:proofErr w:type="spellEnd"/>
      <w:r w:rsidRPr="001E3141">
        <w:rPr>
          <w:rFonts w:ascii="Times New Roman" w:hAnsi="Times New Roman" w:cs="Times New Roman"/>
          <w:color w:val="000000"/>
          <w:sz w:val="26"/>
          <w:szCs w:val="26"/>
        </w:rPr>
        <w:t xml:space="preserve"> грозит наказание в виде штрафа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DB211C">
        <w:rPr>
          <w:rFonts w:ascii="Times New Roman" w:hAnsi="Times New Roman" w:cs="Times New Roman"/>
          <w:color w:val="000000"/>
          <w:sz w:val="26"/>
          <w:szCs w:val="26"/>
        </w:rPr>
        <w:t xml:space="preserve">На директоров – это от 20 до 50 тысяч рублей и на юридических лиц от 1/10 до </w:t>
      </w:r>
      <w:r>
        <w:rPr>
          <w:rFonts w:ascii="Times New Roman" w:hAnsi="Times New Roman" w:cs="Times New Roman"/>
          <w:color w:val="000000"/>
          <w:sz w:val="26"/>
          <w:szCs w:val="26"/>
        </w:rPr>
        <w:t>1/2</w:t>
      </w:r>
      <w:r w:rsidRPr="00DB211C">
        <w:rPr>
          <w:rFonts w:ascii="Times New Roman" w:hAnsi="Times New Roman" w:cs="Times New Roman"/>
          <w:color w:val="000000"/>
          <w:sz w:val="26"/>
          <w:szCs w:val="26"/>
        </w:rPr>
        <w:t xml:space="preserve"> начальной стоимости предмета торгов.</w:t>
      </w:r>
    </w:p>
    <w:p w:rsidR="00FE250E" w:rsidRDefault="00FE250E" w:rsidP="00FE2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250E" w:rsidRDefault="00FE250E" w:rsidP="00FE2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по статье 11 Закона о защите конкуренции </w:t>
      </w:r>
      <w:r w:rsidR="00B76E4B">
        <w:rPr>
          <w:rFonts w:ascii="Times New Roman" w:hAnsi="Times New Roman" w:cs="Times New Roman"/>
          <w:sz w:val="26"/>
          <w:szCs w:val="26"/>
        </w:rPr>
        <w:t>в 3 квартале 2019 года О</w:t>
      </w:r>
      <w:r>
        <w:rPr>
          <w:rFonts w:ascii="Times New Roman" w:hAnsi="Times New Roman" w:cs="Times New Roman"/>
          <w:sz w:val="26"/>
          <w:szCs w:val="26"/>
        </w:rPr>
        <w:t xml:space="preserve">тделом вынесено 2 заключения об обстоятельствах дела. </w:t>
      </w:r>
    </w:p>
    <w:p w:rsidR="00FE250E" w:rsidRPr="00FE250E" w:rsidRDefault="00FE250E" w:rsidP="00FE25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FE250E">
        <w:rPr>
          <w:rFonts w:ascii="Times New Roman" w:hAnsi="Times New Roman" w:cs="Times New Roman"/>
          <w:sz w:val="26"/>
          <w:szCs w:val="26"/>
        </w:rPr>
        <w:t>аключение об обстоятельствах дела комиссия</w:t>
      </w:r>
      <w:r>
        <w:rPr>
          <w:rFonts w:ascii="Times New Roman" w:hAnsi="Times New Roman" w:cs="Times New Roman"/>
          <w:sz w:val="26"/>
          <w:szCs w:val="26"/>
        </w:rPr>
        <w:t>, рассматривающая дело,</w:t>
      </w:r>
      <w:r w:rsidRPr="00FE250E">
        <w:rPr>
          <w:rFonts w:ascii="Times New Roman" w:hAnsi="Times New Roman" w:cs="Times New Roman"/>
          <w:sz w:val="26"/>
          <w:szCs w:val="26"/>
        </w:rPr>
        <w:t xml:space="preserve"> принимает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E250E">
        <w:rPr>
          <w:rFonts w:ascii="Times New Roman" w:hAnsi="Times New Roman" w:cs="Times New Roman"/>
          <w:sz w:val="26"/>
          <w:szCs w:val="26"/>
        </w:rPr>
        <w:t xml:space="preserve">еред окончанием рассмотрения дела </w:t>
      </w:r>
      <w:r w:rsidRPr="00FE250E">
        <w:rPr>
          <w:rFonts w:ascii="Times New Roman" w:hAnsi="Times New Roman" w:cs="Times New Roman"/>
          <w:b/>
          <w:sz w:val="26"/>
          <w:szCs w:val="26"/>
        </w:rPr>
        <w:t>при установлении в действиях (бездействии) ответчика по делу нарушения антимонопольного законодательства.</w:t>
      </w:r>
    </w:p>
    <w:p w:rsidR="00346652" w:rsidRPr="00C7764D" w:rsidRDefault="00346652" w:rsidP="00C7764D">
      <w:pPr>
        <w:tabs>
          <w:tab w:val="left" w:pos="6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46652" w:rsidRPr="00C7764D" w:rsidSect="00B03D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CEE"/>
    <w:multiLevelType w:val="hybridMultilevel"/>
    <w:tmpl w:val="7D8CFBF6"/>
    <w:lvl w:ilvl="0" w:tplc="B57017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8BF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CB1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62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C23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680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2A7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834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EB8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mirrorMargins/>
  <w:proofState w:spelling="clean" w:grammar="clean"/>
  <w:defaultTabStop w:val="708"/>
  <w:characterSpacingControl w:val="doNotCompress"/>
  <w:compat/>
  <w:rsids>
    <w:rsidRoot w:val="000E2099"/>
    <w:rsid w:val="00003B2C"/>
    <w:rsid w:val="000C4C29"/>
    <w:rsid w:val="000D77A3"/>
    <w:rsid w:val="000E2099"/>
    <w:rsid w:val="001243AF"/>
    <w:rsid w:val="001E3141"/>
    <w:rsid w:val="00204232"/>
    <w:rsid w:val="0025021E"/>
    <w:rsid w:val="002E2369"/>
    <w:rsid w:val="00336E0A"/>
    <w:rsid w:val="00346652"/>
    <w:rsid w:val="00376690"/>
    <w:rsid w:val="003B249C"/>
    <w:rsid w:val="003B268A"/>
    <w:rsid w:val="003C6390"/>
    <w:rsid w:val="00400EBC"/>
    <w:rsid w:val="00407D4E"/>
    <w:rsid w:val="00501442"/>
    <w:rsid w:val="005105D9"/>
    <w:rsid w:val="00584238"/>
    <w:rsid w:val="00590F06"/>
    <w:rsid w:val="00630D3A"/>
    <w:rsid w:val="00646941"/>
    <w:rsid w:val="00662D24"/>
    <w:rsid w:val="00683063"/>
    <w:rsid w:val="00692D5C"/>
    <w:rsid w:val="00795CE1"/>
    <w:rsid w:val="007A5267"/>
    <w:rsid w:val="007D5F21"/>
    <w:rsid w:val="007E3397"/>
    <w:rsid w:val="008958FE"/>
    <w:rsid w:val="00935BCA"/>
    <w:rsid w:val="00973F8E"/>
    <w:rsid w:val="009A694D"/>
    <w:rsid w:val="009B0DD2"/>
    <w:rsid w:val="009E1998"/>
    <w:rsid w:val="00AA5874"/>
    <w:rsid w:val="00AD3D68"/>
    <w:rsid w:val="00AD7436"/>
    <w:rsid w:val="00B03D00"/>
    <w:rsid w:val="00B14818"/>
    <w:rsid w:val="00B67AFE"/>
    <w:rsid w:val="00B76E4B"/>
    <w:rsid w:val="00B87481"/>
    <w:rsid w:val="00B9053B"/>
    <w:rsid w:val="00B94544"/>
    <w:rsid w:val="00B95C55"/>
    <w:rsid w:val="00BF70FB"/>
    <w:rsid w:val="00C23D8D"/>
    <w:rsid w:val="00C50E10"/>
    <w:rsid w:val="00C7764D"/>
    <w:rsid w:val="00CB6CAC"/>
    <w:rsid w:val="00CC0181"/>
    <w:rsid w:val="00CC1B7D"/>
    <w:rsid w:val="00CE2D29"/>
    <w:rsid w:val="00CF163B"/>
    <w:rsid w:val="00CF2099"/>
    <w:rsid w:val="00D70852"/>
    <w:rsid w:val="00D71173"/>
    <w:rsid w:val="00D96091"/>
    <w:rsid w:val="00DB211C"/>
    <w:rsid w:val="00DC212D"/>
    <w:rsid w:val="00E67346"/>
    <w:rsid w:val="00EA2C48"/>
    <w:rsid w:val="00EC108B"/>
    <w:rsid w:val="00ED1DE9"/>
    <w:rsid w:val="00F75D1B"/>
    <w:rsid w:val="00F81513"/>
    <w:rsid w:val="00FB4D35"/>
    <w:rsid w:val="00FE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1D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973F8E"/>
    <w:rPr>
      <w:color w:val="0000FF"/>
      <w:u w:val="single"/>
    </w:rPr>
  </w:style>
  <w:style w:type="character" w:customStyle="1" w:styleId="blk">
    <w:name w:val="blk"/>
    <w:basedOn w:val="a0"/>
    <w:rsid w:val="00973F8E"/>
  </w:style>
  <w:style w:type="character" w:customStyle="1" w:styleId="FontStyle12">
    <w:name w:val="Font Style12"/>
    <w:rsid w:val="00973F8E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5014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9B0D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81513"/>
    <w:rPr>
      <w:rFonts w:ascii="Book Antiqua" w:hAnsi="Book Antiqua" w:cs="Book Antiqua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81513"/>
    <w:pPr>
      <w:widowControl w:val="0"/>
      <w:shd w:val="clear" w:color="auto" w:fill="FFFFFF"/>
      <w:spacing w:after="300" w:line="240" w:lineRule="atLeast"/>
      <w:jc w:val="both"/>
    </w:pPr>
    <w:rPr>
      <w:rFonts w:ascii="Book Antiqua" w:hAnsi="Book Antiqua" w:cs="Book Antiqua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rsid w:val="003C6390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C6390"/>
    <w:pPr>
      <w:widowControl w:val="0"/>
      <w:shd w:val="clear" w:color="auto" w:fill="FFFFFF"/>
      <w:spacing w:after="180" w:line="212" w:lineRule="exact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E8420-3D0C-48AF-99D6-3DAC1B86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Лебедева</dc:creator>
  <cp:lastModifiedBy>Алла В. Лебедева</cp:lastModifiedBy>
  <cp:revision>3</cp:revision>
  <dcterms:created xsi:type="dcterms:W3CDTF">2019-11-19T07:14:00Z</dcterms:created>
  <dcterms:modified xsi:type="dcterms:W3CDTF">2019-11-19T10:16:00Z</dcterms:modified>
</cp:coreProperties>
</file>